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817EA6" w14:paraId="470CBDA7" w14:textId="77777777" w:rsidTr="008D2FEC">
        <w:trPr>
          <w:trHeight w:hRule="exact" w:val="3598"/>
        </w:trPr>
        <w:tc>
          <w:tcPr>
            <w:tcW w:w="9513" w:type="dxa"/>
            <w:shd w:val="clear" w:color="auto" w:fill="auto"/>
            <w:vAlign w:val="center"/>
          </w:tcPr>
          <w:p w14:paraId="30F53C39" w14:textId="5069317D" w:rsidR="008D2FEC" w:rsidRPr="00817EA6" w:rsidRDefault="008D2FEC" w:rsidP="007475B8">
            <w:pPr>
              <w:pStyle w:val="RepTitle"/>
            </w:pPr>
            <w:r w:rsidRPr="00817EA6">
              <w:t>REGISTRATION REPORT</w:t>
            </w:r>
          </w:p>
          <w:p w14:paraId="4B1418B8" w14:textId="77777777" w:rsidR="00F52E35" w:rsidRPr="00817EA6" w:rsidRDefault="00F52E35" w:rsidP="00043E31">
            <w:pPr>
              <w:pStyle w:val="RepTitleBold"/>
              <w:rPr>
                <w:sz w:val="56"/>
                <w:szCs w:val="56"/>
              </w:rPr>
            </w:pPr>
            <w:r w:rsidRPr="00817EA6">
              <w:t>Part B</w:t>
            </w:r>
          </w:p>
          <w:p w14:paraId="5D0525A8" w14:textId="77777777" w:rsidR="00D728CA" w:rsidRPr="00817EA6" w:rsidRDefault="00D728CA" w:rsidP="00D728CA">
            <w:pPr>
              <w:pStyle w:val="RepTitleBold"/>
            </w:pPr>
            <w:r w:rsidRPr="00817EA6">
              <w:t>Section 10</w:t>
            </w:r>
          </w:p>
          <w:p w14:paraId="29827D91" w14:textId="77777777" w:rsidR="00400A06" w:rsidRPr="00817EA6" w:rsidRDefault="00D728CA" w:rsidP="00D728CA">
            <w:pPr>
              <w:pStyle w:val="RepTitleBold"/>
            </w:pPr>
            <w:r w:rsidRPr="00817EA6">
              <w:t xml:space="preserve">Assessment of the relevance of metabolites in </w:t>
            </w:r>
            <w:r w:rsidRPr="00817EA6">
              <w:br/>
              <w:t>groundwater</w:t>
            </w:r>
          </w:p>
          <w:p w14:paraId="0E17EDDC" w14:textId="77777777" w:rsidR="008D2FEC" w:rsidRPr="00817EA6" w:rsidRDefault="00D728CA" w:rsidP="007475B8">
            <w:pPr>
              <w:pStyle w:val="RepSubtitle"/>
            </w:pPr>
            <w:r w:rsidRPr="00817EA6">
              <w:t>Detailed summary of the risk assessment</w:t>
            </w:r>
          </w:p>
        </w:tc>
      </w:tr>
      <w:tr w:rsidR="008D2FEC" w:rsidRPr="00817EA6" w14:paraId="73C929DA" w14:textId="77777777" w:rsidTr="008D2FEC">
        <w:trPr>
          <w:trHeight w:hRule="exact" w:val="3765"/>
        </w:trPr>
        <w:tc>
          <w:tcPr>
            <w:tcW w:w="9513" w:type="dxa"/>
            <w:shd w:val="clear" w:color="auto" w:fill="auto"/>
            <w:vAlign w:val="center"/>
          </w:tcPr>
          <w:p w14:paraId="4ED49A5E" w14:textId="77777777" w:rsidR="008418B9" w:rsidRPr="00817EA6" w:rsidRDefault="008418B9" w:rsidP="008418B9">
            <w:pPr>
              <w:pStyle w:val="RepTitle"/>
            </w:pPr>
            <w:r w:rsidRPr="00817EA6">
              <w:t>Product code: BAS 743 03 F</w:t>
            </w:r>
          </w:p>
          <w:p w14:paraId="4D32D4CD" w14:textId="2C8FF751" w:rsidR="008418B9" w:rsidRPr="00817EA6" w:rsidRDefault="008418B9" w:rsidP="008418B9">
            <w:pPr>
              <w:pStyle w:val="RepTitle"/>
            </w:pPr>
            <w:r w:rsidRPr="00817EA6">
              <w:t xml:space="preserve">Product name(s): </w:t>
            </w:r>
            <w:r w:rsidR="00C951D1" w:rsidRPr="009F5A83">
              <w:rPr>
                <w:b/>
                <w:bCs/>
              </w:rPr>
              <w:t>DIVEXO</w:t>
            </w:r>
          </w:p>
          <w:p w14:paraId="321A8F58" w14:textId="77777777" w:rsidR="008418B9" w:rsidRPr="00817EA6" w:rsidRDefault="008418B9" w:rsidP="008418B9">
            <w:pPr>
              <w:pStyle w:val="RepSubtitle"/>
            </w:pPr>
            <w:r w:rsidRPr="00817EA6">
              <w:t xml:space="preserve">Chemical active substance(s): </w:t>
            </w:r>
          </w:p>
          <w:p w14:paraId="3FF9F8C3" w14:textId="08B47456" w:rsidR="008D2FEC" w:rsidRPr="00817EA6" w:rsidRDefault="00C951D1" w:rsidP="008B57E6">
            <w:pPr>
              <w:pStyle w:val="RepSubtitle"/>
            </w:pPr>
            <w:proofErr w:type="spellStart"/>
            <w:r w:rsidRPr="00817EA6">
              <w:rPr>
                <w:szCs w:val="32"/>
              </w:rPr>
              <w:t>Ametoctradin</w:t>
            </w:r>
            <w:proofErr w:type="spellEnd"/>
            <w:r w:rsidRPr="00817EA6">
              <w:rPr>
                <w:szCs w:val="32"/>
              </w:rPr>
              <w:t xml:space="preserve"> 120 g/L </w:t>
            </w:r>
            <w:r w:rsidRPr="00817EA6">
              <w:rPr>
                <w:szCs w:val="32"/>
              </w:rPr>
              <w:br/>
              <w:t>Propamocarb</w:t>
            </w:r>
            <w:r w:rsidR="0048757F">
              <w:rPr>
                <w:szCs w:val="32"/>
              </w:rPr>
              <w:t xml:space="preserve"> h</w:t>
            </w:r>
            <w:r w:rsidRPr="00817EA6">
              <w:rPr>
                <w:szCs w:val="32"/>
              </w:rPr>
              <w:t xml:space="preserve">ydrochloride 451 g/L </w:t>
            </w:r>
          </w:p>
        </w:tc>
      </w:tr>
      <w:tr w:rsidR="008D2FEC" w:rsidRPr="00817EA6" w14:paraId="73986EA3" w14:textId="77777777" w:rsidTr="009F5A83">
        <w:trPr>
          <w:trHeight w:hRule="exact" w:val="1999"/>
        </w:trPr>
        <w:tc>
          <w:tcPr>
            <w:tcW w:w="9513" w:type="dxa"/>
            <w:shd w:val="clear" w:color="auto" w:fill="auto"/>
            <w:vAlign w:val="center"/>
          </w:tcPr>
          <w:p w14:paraId="0BDD826E" w14:textId="77777777" w:rsidR="00C951D1" w:rsidRPr="00817EA6" w:rsidRDefault="00C951D1" w:rsidP="00C951D1">
            <w:pPr>
              <w:pStyle w:val="RepTitle"/>
            </w:pPr>
            <w:r w:rsidRPr="00817EA6">
              <w:t>Central Zone</w:t>
            </w:r>
          </w:p>
          <w:p w14:paraId="4414F8C5" w14:textId="4BE16970" w:rsidR="008D2FEC" w:rsidRPr="00817EA6" w:rsidRDefault="00C951D1" w:rsidP="00C951D1">
            <w:pPr>
              <w:pStyle w:val="RepTitle"/>
            </w:pPr>
            <w:r w:rsidRPr="00817EA6">
              <w:t>Zonal Rapporteur Member State: Poland</w:t>
            </w:r>
          </w:p>
        </w:tc>
      </w:tr>
      <w:tr w:rsidR="008D2FEC" w:rsidRPr="00817EA6" w14:paraId="7E4B08C6" w14:textId="77777777" w:rsidTr="008D2FEC">
        <w:trPr>
          <w:trHeight w:hRule="exact" w:val="2268"/>
        </w:trPr>
        <w:tc>
          <w:tcPr>
            <w:tcW w:w="9513" w:type="dxa"/>
            <w:shd w:val="clear" w:color="auto" w:fill="auto"/>
            <w:vAlign w:val="center"/>
          </w:tcPr>
          <w:p w14:paraId="611BB065" w14:textId="65992C6A" w:rsidR="008D2FEC" w:rsidRPr="00817EA6" w:rsidRDefault="00C951D1" w:rsidP="009A50A9">
            <w:pPr>
              <w:pStyle w:val="RepTitle"/>
            </w:pPr>
            <w:r w:rsidRPr="00817EA6">
              <w:t>CORE ASSESSMENT</w:t>
            </w:r>
            <w:r w:rsidRPr="00817EA6">
              <w:br/>
            </w:r>
            <w:r w:rsidRPr="00817EA6">
              <w:rPr>
                <w:sz w:val="32"/>
                <w:szCs w:val="32"/>
              </w:rPr>
              <w:t>(authorization of product)</w:t>
            </w:r>
          </w:p>
        </w:tc>
      </w:tr>
      <w:tr w:rsidR="008D2FEC" w:rsidRPr="00817EA6" w14:paraId="26CDB5BC" w14:textId="77777777" w:rsidTr="009F5A83">
        <w:trPr>
          <w:trHeight w:hRule="exact" w:val="2415"/>
        </w:trPr>
        <w:tc>
          <w:tcPr>
            <w:tcW w:w="9513" w:type="dxa"/>
            <w:shd w:val="clear" w:color="auto" w:fill="auto"/>
            <w:vAlign w:val="center"/>
          </w:tcPr>
          <w:p w14:paraId="166F167C" w14:textId="18593104" w:rsidR="00C951D1" w:rsidRPr="00006F16" w:rsidRDefault="00C951D1" w:rsidP="00C951D1">
            <w:pPr>
              <w:pStyle w:val="RepTitle"/>
            </w:pPr>
            <w:r w:rsidRPr="00006F16">
              <w:t xml:space="preserve">Applicant: </w:t>
            </w:r>
            <w:r w:rsidR="001667FF">
              <w:t>XXXX</w:t>
            </w:r>
          </w:p>
          <w:p w14:paraId="3EBE51EA" w14:textId="7BF5D71C" w:rsidR="00C951D1" w:rsidRPr="00006F16" w:rsidRDefault="00C951D1" w:rsidP="00C951D1">
            <w:pPr>
              <w:pStyle w:val="RepTitle"/>
            </w:pPr>
            <w:r w:rsidRPr="00006F16">
              <w:t xml:space="preserve">Submission date: </w:t>
            </w:r>
            <w:r w:rsidR="00245BC5" w:rsidRPr="00006F16">
              <w:t>Octo</w:t>
            </w:r>
            <w:r w:rsidR="00DB54ED" w:rsidRPr="00006F16">
              <w:t xml:space="preserve">ber </w:t>
            </w:r>
            <w:r w:rsidRPr="00006F16">
              <w:t>2023</w:t>
            </w:r>
            <w:r w:rsidR="00853E3C" w:rsidRPr="00006F16">
              <w:t xml:space="preserve"> (update September 2024)</w:t>
            </w:r>
          </w:p>
          <w:p w14:paraId="79A5FB29" w14:textId="77777777" w:rsidR="009F5A83" w:rsidRPr="00006F16" w:rsidRDefault="009F5A83" w:rsidP="009F5A83">
            <w:pPr>
              <w:pStyle w:val="RepTitle"/>
              <w:rPr>
                <w:b/>
                <w:lang w:val="en-GB"/>
              </w:rPr>
            </w:pPr>
            <w:r w:rsidRPr="00006F16">
              <w:rPr>
                <w:lang w:val="en-GB"/>
              </w:rPr>
              <w:t>Evaluation date: May 2024</w:t>
            </w:r>
          </w:p>
          <w:p w14:paraId="00B46697" w14:textId="3239BA8F" w:rsidR="008D2FEC" w:rsidRPr="00006F16" w:rsidRDefault="009F5A83" w:rsidP="009F5A83">
            <w:pPr>
              <w:pStyle w:val="RepTitle"/>
            </w:pPr>
            <w:r w:rsidRPr="00006F16">
              <w:rPr>
                <w:lang w:val="en-GB"/>
              </w:rPr>
              <w:t>MS Finalisation date:</w:t>
            </w:r>
            <w:r w:rsidR="00296320" w:rsidRPr="00006F16">
              <w:rPr>
                <w:lang w:val="en-GB"/>
              </w:rPr>
              <w:t xml:space="preserve"> </w:t>
            </w:r>
            <w:r w:rsidR="00332197">
              <w:rPr>
                <w:lang w:val="en-GB"/>
              </w:rPr>
              <w:t>Novemb</w:t>
            </w:r>
            <w:r w:rsidR="00296320" w:rsidRPr="00006F16">
              <w:rPr>
                <w:lang w:val="en-GB"/>
              </w:rPr>
              <w:t>er 2024</w:t>
            </w:r>
          </w:p>
          <w:p w14:paraId="0B9E50F6" w14:textId="77777777" w:rsidR="0025579A" w:rsidRPr="0025579A" w:rsidRDefault="0025579A" w:rsidP="0025579A"/>
          <w:p w14:paraId="09796E3C" w14:textId="77777777" w:rsidR="0025579A" w:rsidRPr="0025579A" w:rsidRDefault="0025579A" w:rsidP="0025579A"/>
          <w:p w14:paraId="508FF3D6" w14:textId="77777777" w:rsidR="0025579A" w:rsidRDefault="0025579A" w:rsidP="0025579A">
            <w:pPr>
              <w:rPr>
                <w:sz w:val="36"/>
              </w:rPr>
            </w:pPr>
          </w:p>
          <w:p w14:paraId="05EB1693" w14:textId="1286985D" w:rsidR="0025579A" w:rsidRPr="0025579A" w:rsidRDefault="0025579A" w:rsidP="0025579A"/>
        </w:tc>
      </w:tr>
    </w:tbl>
    <w:p w14:paraId="3CC1A6D8" w14:textId="77777777" w:rsidR="002442E5" w:rsidRPr="00817EA6" w:rsidRDefault="002442E5" w:rsidP="002442E5">
      <w:pPr>
        <w:pStyle w:val="RepTitle"/>
        <w:sectPr w:rsidR="002442E5" w:rsidRPr="00817EA6" w:rsidSect="009B6A86">
          <w:headerReference w:type="default" r:id="rId7"/>
          <w:footerReference w:type="even" r:id="rId8"/>
          <w:footerReference w:type="default" r:id="rId9"/>
          <w:footerReference w:type="first" r:id="rId10"/>
          <w:pgSz w:w="11906" w:h="16838" w:code="9"/>
          <w:pgMar w:top="1417" w:right="1134" w:bottom="1134" w:left="1417" w:header="709" w:footer="709" w:gutter="0"/>
          <w:pgNumType w:chapSep="period"/>
          <w:cols w:space="708"/>
          <w:titlePg/>
          <w:docGrid w:linePitch="360"/>
        </w:sectPr>
      </w:pPr>
    </w:p>
    <w:p w14:paraId="7EC90522" w14:textId="77777777" w:rsidR="009F5A83" w:rsidRDefault="009F5A83" w:rsidP="002442E5">
      <w:pPr>
        <w:pStyle w:val="RepTitle"/>
      </w:pPr>
    </w:p>
    <w:p w14:paraId="6C2A7320" w14:textId="289BDF0F" w:rsidR="00E83884" w:rsidRPr="00817EA6" w:rsidRDefault="008D2FEC" w:rsidP="002442E5">
      <w:pPr>
        <w:pStyle w:val="RepTitle"/>
      </w:pPr>
      <w:r w:rsidRPr="00817EA6">
        <w:t>V</w:t>
      </w:r>
      <w:r w:rsidR="00E83884" w:rsidRPr="00817EA6">
        <w:t xml:space="preserve">ersion </w:t>
      </w:r>
      <w:r w:rsidR="006701D3" w:rsidRPr="00817EA6">
        <w:t>h</w:t>
      </w:r>
      <w:r w:rsidR="00E83884" w:rsidRPr="00817EA6">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817EA6" w14:paraId="46C21EFA" w14:textId="77777777" w:rsidTr="00043E31">
        <w:tc>
          <w:tcPr>
            <w:tcW w:w="796" w:type="pct"/>
            <w:shd w:val="clear" w:color="auto" w:fill="auto"/>
          </w:tcPr>
          <w:p w14:paraId="338F777B" w14:textId="77777777" w:rsidR="00E83884" w:rsidRPr="00817EA6" w:rsidRDefault="00E83884" w:rsidP="003E44CC">
            <w:pPr>
              <w:pStyle w:val="RepTableHeader"/>
              <w:jc w:val="center"/>
              <w:rPr>
                <w:lang w:val="en-GB"/>
              </w:rPr>
            </w:pPr>
            <w:r w:rsidRPr="00817EA6">
              <w:rPr>
                <w:lang w:val="en-GB"/>
              </w:rPr>
              <w:t>When</w:t>
            </w:r>
          </w:p>
        </w:tc>
        <w:tc>
          <w:tcPr>
            <w:tcW w:w="4204" w:type="pct"/>
            <w:shd w:val="clear" w:color="auto" w:fill="auto"/>
          </w:tcPr>
          <w:p w14:paraId="21E7700B" w14:textId="77777777" w:rsidR="00E83884" w:rsidRPr="00817EA6" w:rsidRDefault="00E83884" w:rsidP="003E44CC">
            <w:pPr>
              <w:pStyle w:val="RepTableHeader"/>
              <w:jc w:val="center"/>
              <w:rPr>
                <w:lang w:val="en-GB"/>
              </w:rPr>
            </w:pPr>
            <w:r w:rsidRPr="00817EA6">
              <w:rPr>
                <w:lang w:val="en-GB"/>
              </w:rPr>
              <w:t>What</w:t>
            </w:r>
          </w:p>
        </w:tc>
      </w:tr>
      <w:tr w:rsidR="001C5619" w:rsidRPr="00817EA6" w14:paraId="7CA6DD27" w14:textId="77777777" w:rsidTr="00043E31">
        <w:tc>
          <w:tcPr>
            <w:tcW w:w="796" w:type="pct"/>
            <w:shd w:val="clear" w:color="auto" w:fill="auto"/>
          </w:tcPr>
          <w:p w14:paraId="202B3384" w14:textId="4619F166" w:rsidR="001C5619" w:rsidRPr="00817EA6" w:rsidRDefault="00245BC5" w:rsidP="001C5619">
            <w:pPr>
              <w:pStyle w:val="RepTable"/>
              <w:rPr>
                <w:noProof w:val="0"/>
              </w:rPr>
            </w:pPr>
            <w:r>
              <w:t xml:space="preserve">October </w:t>
            </w:r>
            <w:r w:rsidR="001C5619" w:rsidRPr="009C1847">
              <w:t>2023</w:t>
            </w:r>
          </w:p>
        </w:tc>
        <w:tc>
          <w:tcPr>
            <w:tcW w:w="4204" w:type="pct"/>
            <w:shd w:val="clear" w:color="auto" w:fill="auto"/>
          </w:tcPr>
          <w:p w14:paraId="34640880" w14:textId="79CAFB77" w:rsidR="001C5619" w:rsidRPr="00817EA6" w:rsidRDefault="001C5619" w:rsidP="001C5619">
            <w:pPr>
              <w:pStyle w:val="RepTable"/>
              <w:rPr>
                <w:noProof w:val="0"/>
              </w:rPr>
            </w:pPr>
            <w:r w:rsidRPr="009C1847">
              <w:t xml:space="preserve">Initial dRR – </w:t>
            </w:r>
            <w:r w:rsidR="001667FF">
              <w:t>XXXX</w:t>
            </w:r>
            <w:r w:rsidRPr="009C1847">
              <w:t xml:space="preserve"> Doc ID </w:t>
            </w:r>
            <w:r>
              <w:t>2022/2025094</w:t>
            </w:r>
          </w:p>
        </w:tc>
      </w:tr>
      <w:tr w:rsidR="001C5619" w:rsidRPr="00817EA6" w14:paraId="109E7123" w14:textId="77777777" w:rsidTr="009B666E">
        <w:tc>
          <w:tcPr>
            <w:tcW w:w="796" w:type="pct"/>
            <w:shd w:val="clear" w:color="auto" w:fill="D9D9D9" w:themeFill="background1" w:themeFillShade="D9"/>
          </w:tcPr>
          <w:p w14:paraId="287F2C63" w14:textId="62596D4D" w:rsidR="001C5619" w:rsidRPr="00817EA6" w:rsidRDefault="009B666E" w:rsidP="009B666E">
            <w:pPr>
              <w:pStyle w:val="RepTable"/>
              <w:rPr>
                <w:noProof w:val="0"/>
              </w:rPr>
            </w:pPr>
            <w:r w:rsidRPr="009B666E">
              <w:rPr>
                <w:noProof w:val="0"/>
              </w:rPr>
              <w:t>May 202</w:t>
            </w:r>
            <w:r>
              <w:rPr>
                <w:noProof w:val="0"/>
              </w:rPr>
              <w:t>4</w:t>
            </w:r>
          </w:p>
        </w:tc>
        <w:tc>
          <w:tcPr>
            <w:tcW w:w="4204" w:type="pct"/>
            <w:shd w:val="clear" w:color="auto" w:fill="D9D9D9" w:themeFill="background1" w:themeFillShade="D9"/>
          </w:tcPr>
          <w:p w14:paraId="31D69853" w14:textId="207FECAA" w:rsidR="001C5619" w:rsidRPr="00817EA6" w:rsidRDefault="009B666E" w:rsidP="001C5619">
            <w:pPr>
              <w:pStyle w:val="RepTable"/>
              <w:rPr>
                <w:noProof w:val="0"/>
              </w:rPr>
            </w:pPr>
            <w:proofErr w:type="spellStart"/>
            <w:r w:rsidRPr="009B666E">
              <w:rPr>
                <w:noProof w:val="0"/>
              </w:rPr>
              <w:t>zRMS</w:t>
            </w:r>
            <w:proofErr w:type="spellEnd"/>
            <w:r w:rsidRPr="009B666E">
              <w:rPr>
                <w:noProof w:val="0"/>
              </w:rPr>
              <w:t>-PL evaluation</w:t>
            </w:r>
          </w:p>
        </w:tc>
      </w:tr>
      <w:tr w:rsidR="001C5619" w:rsidRPr="00817EA6" w14:paraId="251BB7F1" w14:textId="77777777" w:rsidTr="00043E31">
        <w:tc>
          <w:tcPr>
            <w:tcW w:w="796" w:type="pct"/>
            <w:shd w:val="clear" w:color="auto" w:fill="auto"/>
          </w:tcPr>
          <w:p w14:paraId="2966FC0C" w14:textId="24B81124" w:rsidR="001C5619" w:rsidRPr="00817EA6" w:rsidRDefault="00210BC5" w:rsidP="001C5619">
            <w:pPr>
              <w:pStyle w:val="RepTable"/>
              <w:rPr>
                <w:noProof w:val="0"/>
              </w:rPr>
            </w:pPr>
            <w:r w:rsidRPr="00210BC5">
              <w:rPr>
                <w:noProof w:val="0"/>
                <w:highlight w:val="yellow"/>
              </w:rPr>
              <w:t>September 2024</w:t>
            </w:r>
          </w:p>
        </w:tc>
        <w:tc>
          <w:tcPr>
            <w:tcW w:w="4204" w:type="pct"/>
            <w:shd w:val="clear" w:color="auto" w:fill="auto"/>
          </w:tcPr>
          <w:p w14:paraId="65FEDF29" w14:textId="7C4AE2D8" w:rsidR="001C5619" w:rsidRPr="00210BC5" w:rsidRDefault="00210BC5" w:rsidP="001C5619">
            <w:pPr>
              <w:pStyle w:val="RepTable"/>
              <w:rPr>
                <w:noProof w:val="0"/>
                <w:highlight w:val="yellow"/>
              </w:rPr>
            </w:pPr>
            <w:r w:rsidRPr="00210BC5">
              <w:rPr>
                <w:noProof w:val="0"/>
                <w:highlight w:val="yellow"/>
              </w:rPr>
              <w:t xml:space="preserve">Updates following </w:t>
            </w:r>
            <w:r w:rsidR="00853E3C">
              <w:rPr>
                <w:noProof w:val="0"/>
                <w:highlight w:val="yellow"/>
              </w:rPr>
              <w:t>the C</w:t>
            </w:r>
            <w:r w:rsidRPr="00210BC5">
              <w:rPr>
                <w:noProof w:val="0"/>
                <w:highlight w:val="yellow"/>
              </w:rPr>
              <w:t>ommenting</w:t>
            </w:r>
            <w:r w:rsidR="00853E3C">
              <w:rPr>
                <w:noProof w:val="0"/>
                <w:highlight w:val="yellow"/>
              </w:rPr>
              <w:t xml:space="preserve"> phase </w:t>
            </w:r>
            <w:r w:rsidR="008F67A4">
              <w:rPr>
                <w:noProof w:val="0"/>
                <w:highlight w:val="yellow"/>
              </w:rPr>
              <w:t>XXXX</w:t>
            </w:r>
            <w:r w:rsidR="00853E3C">
              <w:rPr>
                <w:noProof w:val="0"/>
                <w:highlight w:val="yellow"/>
              </w:rPr>
              <w:t xml:space="preserve"> Doc ID </w:t>
            </w:r>
            <w:r w:rsidR="00853E3C" w:rsidRPr="00853E3C">
              <w:rPr>
                <w:noProof w:val="0"/>
                <w:highlight w:val="yellow"/>
              </w:rPr>
              <w:t>2024/2031545</w:t>
            </w:r>
            <w:r w:rsidR="00853E3C">
              <w:rPr>
                <w:noProof w:val="0"/>
                <w:highlight w:val="yellow"/>
              </w:rPr>
              <w:t>:</w:t>
            </w:r>
            <w:r w:rsidRPr="00210BC5">
              <w:rPr>
                <w:noProof w:val="0"/>
                <w:highlight w:val="yellow"/>
              </w:rPr>
              <w:t xml:space="preserve"> </w:t>
            </w:r>
          </w:p>
          <w:p w14:paraId="775FD3C5" w14:textId="077C2FD5" w:rsidR="00210BC5" w:rsidRPr="00210BC5" w:rsidRDefault="00210BC5" w:rsidP="00853E3C">
            <w:pPr>
              <w:pStyle w:val="RepTable"/>
              <w:numPr>
                <w:ilvl w:val="0"/>
                <w:numId w:val="27"/>
              </w:numPr>
              <w:rPr>
                <w:noProof w:val="0"/>
                <w:highlight w:val="yellow"/>
              </w:rPr>
            </w:pPr>
            <w:r w:rsidRPr="00210BC5">
              <w:rPr>
                <w:noProof w:val="0"/>
                <w:highlight w:val="yellow"/>
              </w:rPr>
              <w:t xml:space="preserve">10.2.3.2 Genotoxicity screening on M650F03 – A reference to the </w:t>
            </w:r>
            <w:r w:rsidRPr="00853E3C">
              <w:rPr>
                <w:i/>
                <w:iCs/>
                <w:noProof w:val="0"/>
                <w:highlight w:val="yellow"/>
              </w:rPr>
              <w:t>in-vitro</w:t>
            </w:r>
            <w:r w:rsidRPr="00210BC5">
              <w:rPr>
                <w:noProof w:val="0"/>
                <w:highlight w:val="yellow"/>
              </w:rPr>
              <w:t xml:space="preserve"> MN test has been added in the text</w:t>
            </w:r>
          </w:p>
          <w:p w14:paraId="1118C1A9" w14:textId="4A44690C" w:rsidR="00210BC5" w:rsidRPr="00210BC5" w:rsidRDefault="00210BC5" w:rsidP="00853E3C">
            <w:pPr>
              <w:pStyle w:val="RepTable"/>
              <w:numPr>
                <w:ilvl w:val="0"/>
                <w:numId w:val="27"/>
              </w:numPr>
              <w:rPr>
                <w:noProof w:val="0"/>
                <w:highlight w:val="yellow"/>
              </w:rPr>
            </w:pPr>
            <w:r w:rsidRPr="00210BC5">
              <w:rPr>
                <w:noProof w:val="0"/>
                <w:highlight w:val="yellow"/>
              </w:rPr>
              <w:t>10.2.3.3 Toxicity screening on M650F03 – A reference to the 90-day oral rat study has been added into the text</w:t>
            </w:r>
          </w:p>
          <w:p w14:paraId="6E6FADA9" w14:textId="6587731D" w:rsidR="00210BC5" w:rsidRPr="00210BC5" w:rsidRDefault="00210BC5" w:rsidP="00853E3C">
            <w:pPr>
              <w:pStyle w:val="RepTable"/>
              <w:numPr>
                <w:ilvl w:val="0"/>
                <w:numId w:val="27"/>
              </w:numPr>
              <w:rPr>
                <w:noProof w:val="0"/>
                <w:highlight w:val="yellow"/>
              </w:rPr>
            </w:pPr>
            <w:r w:rsidRPr="00210BC5">
              <w:rPr>
                <w:noProof w:val="0"/>
                <w:highlight w:val="yellow"/>
              </w:rPr>
              <w:t>10.3.3.2 Genotoxicity screening on M650F04 – Typological error corrected</w:t>
            </w:r>
          </w:p>
          <w:p w14:paraId="1858164D" w14:textId="04A4F6DD" w:rsidR="00210BC5" w:rsidRPr="00210BC5" w:rsidRDefault="00210BC5" w:rsidP="00853E3C">
            <w:pPr>
              <w:pStyle w:val="RepTable"/>
              <w:numPr>
                <w:ilvl w:val="0"/>
                <w:numId w:val="27"/>
              </w:numPr>
              <w:rPr>
                <w:noProof w:val="0"/>
                <w:highlight w:val="yellow"/>
              </w:rPr>
            </w:pPr>
            <w:r w:rsidRPr="00210BC5">
              <w:rPr>
                <w:noProof w:val="0"/>
                <w:highlight w:val="yellow"/>
              </w:rPr>
              <w:t>10.3.3.3 Toxicity screening on M650F04 – A reference to the 90-day oral rat study has been added into the text</w:t>
            </w:r>
          </w:p>
          <w:p w14:paraId="6EE011E7" w14:textId="79CE3048" w:rsidR="00210BC5" w:rsidRPr="00817EA6" w:rsidRDefault="00210BC5" w:rsidP="00853E3C">
            <w:pPr>
              <w:pStyle w:val="RepTable"/>
              <w:numPr>
                <w:ilvl w:val="0"/>
                <w:numId w:val="27"/>
              </w:numPr>
              <w:rPr>
                <w:noProof w:val="0"/>
              </w:rPr>
            </w:pPr>
            <w:r w:rsidRPr="00210BC5">
              <w:rPr>
                <w:noProof w:val="0"/>
                <w:highlight w:val="yellow"/>
              </w:rPr>
              <w:t>10.4 Cumulative risk assessment to M650F03 and M650F04</w:t>
            </w:r>
            <w:r w:rsidRPr="00210BC5">
              <w:rPr>
                <w:noProof w:val="0"/>
              </w:rPr>
              <w:t xml:space="preserve"> </w:t>
            </w:r>
          </w:p>
        </w:tc>
      </w:tr>
      <w:tr w:rsidR="00006F16" w:rsidRPr="00006F16" w14:paraId="46EBA130" w14:textId="77777777" w:rsidTr="00006F16">
        <w:tc>
          <w:tcPr>
            <w:tcW w:w="796" w:type="pct"/>
            <w:shd w:val="clear" w:color="auto" w:fill="BDD6EE" w:themeFill="accent5" w:themeFillTint="66"/>
          </w:tcPr>
          <w:p w14:paraId="336C571E" w14:textId="0FACA6D4" w:rsidR="001C5619" w:rsidRPr="00006F16" w:rsidRDefault="00332197" w:rsidP="00296320">
            <w:pPr>
              <w:pStyle w:val="RepTable"/>
              <w:rPr>
                <w:noProof w:val="0"/>
              </w:rPr>
            </w:pPr>
            <w:r>
              <w:rPr>
                <w:noProof w:val="0"/>
              </w:rPr>
              <w:t>Novem</w:t>
            </w:r>
            <w:r w:rsidR="00296320" w:rsidRPr="00006F16">
              <w:rPr>
                <w:noProof w:val="0"/>
              </w:rPr>
              <w:t>ber 2024</w:t>
            </w:r>
          </w:p>
        </w:tc>
        <w:tc>
          <w:tcPr>
            <w:tcW w:w="4204" w:type="pct"/>
            <w:shd w:val="clear" w:color="auto" w:fill="BDD6EE" w:themeFill="accent5" w:themeFillTint="66"/>
          </w:tcPr>
          <w:p w14:paraId="5E56E713" w14:textId="0045313A" w:rsidR="001C5619" w:rsidRPr="00006F16" w:rsidRDefault="00296320" w:rsidP="001C5619">
            <w:pPr>
              <w:pStyle w:val="RepTable"/>
              <w:rPr>
                <w:noProof w:val="0"/>
              </w:rPr>
            </w:pPr>
            <w:r w:rsidRPr="00006F16">
              <w:rPr>
                <w:noProof w:val="0"/>
              </w:rPr>
              <w:t xml:space="preserve">Updated </w:t>
            </w:r>
            <w:proofErr w:type="spellStart"/>
            <w:r w:rsidRPr="00006F16">
              <w:rPr>
                <w:noProof w:val="0"/>
              </w:rPr>
              <w:t>dRR</w:t>
            </w:r>
            <w:proofErr w:type="spellEnd"/>
            <w:r w:rsidRPr="00006F16">
              <w:rPr>
                <w:noProof w:val="0"/>
              </w:rPr>
              <w:t xml:space="preserve"> – after MSs consultation</w:t>
            </w:r>
          </w:p>
        </w:tc>
      </w:tr>
    </w:tbl>
    <w:p w14:paraId="58938DBF" w14:textId="77777777" w:rsidR="00E83884" w:rsidRPr="00817EA6" w:rsidRDefault="00E83884" w:rsidP="002442E5">
      <w:pPr>
        <w:pStyle w:val="RepStandard"/>
      </w:pPr>
    </w:p>
    <w:p w14:paraId="2FB1B406" w14:textId="77777777" w:rsidR="002442E5" w:rsidRPr="00817EA6" w:rsidRDefault="002442E5" w:rsidP="002442E5">
      <w:pPr>
        <w:pStyle w:val="RepSubtitle"/>
      </w:pPr>
    </w:p>
    <w:p w14:paraId="4F5429A3" w14:textId="77777777" w:rsidR="009D2A33" w:rsidRPr="00817EA6" w:rsidRDefault="009D2A33" w:rsidP="009D2A33">
      <w:pPr>
        <w:pStyle w:val="RepSubtitle"/>
        <w:jc w:val="left"/>
      </w:pPr>
    </w:p>
    <w:p w14:paraId="6ACE3BC9" w14:textId="77777777" w:rsidR="009D2A33" w:rsidRPr="00817EA6" w:rsidRDefault="009D2A33" w:rsidP="009D2A33">
      <w:pPr>
        <w:pStyle w:val="RepSubtitle"/>
        <w:jc w:val="left"/>
        <w:sectPr w:rsidR="009D2A33" w:rsidRPr="00817EA6" w:rsidSect="009B6A86">
          <w:headerReference w:type="default" r:id="rId11"/>
          <w:footerReference w:type="even" r:id="rId12"/>
          <w:footerReference w:type="default" r:id="rId13"/>
          <w:footerReference w:type="first" r:id="rId14"/>
          <w:pgSz w:w="11906" w:h="16838" w:code="9"/>
          <w:pgMar w:top="1417" w:right="1134" w:bottom="1134" w:left="1417" w:header="709" w:footer="709" w:gutter="0"/>
          <w:pgNumType w:chapSep="period"/>
          <w:cols w:space="708"/>
          <w:docGrid w:linePitch="360"/>
        </w:sectPr>
      </w:pPr>
    </w:p>
    <w:p w14:paraId="37DC7420" w14:textId="77777777" w:rsidR="009F5A83" w:rsidRDefault="009F5A83" w:rsidP="002442E5">
      <w:pPr>
        <w:pStyle w:val="RepSubtitle"/>
      </w:pPr>
    </w:p>
    <w:p w14:paraId="04D88B9A" w14:textId="5941440C" w:rsidR="0075737D" w:rsidRPr="00817EA6" w:rsidRDefault="00183D6E" w:rsidP="002442E5">
      <w:pPr>
        <w:pStyle w:val="RepSubtitle"/>
      </w:pPr>
      <w:r w:rsidRPr="00817EA6">
        <w:t>Table</w:t>
      </w:r>
      <w:r w:rsidR="0075737D" w:rsidRPr="00817EA6">
        <w:t xml:space="preserve"> of </w:t>
      </w:r>
      <w:r w:rsidR="002442E5" w:rsidRPr="00817EA6">
        <w:t>C</w:t>
      </w:r>
      <w:r w:rsidR="0075737D" w:rsidRPr="00817EA6">
        <w:t>ontents</w:t>
      </w:r>
    </w:p>
    <w:p w14:paraId="5FD60652" w14:textId="277CAB93" w:rsidR="00332197" w:rsidRDefault="00BA7644">
      <w:pPr>
        <w:pStyle w:val="Spistreci1"/>
        <w:rPr>
          <w:rFonts w:asciiTheme="minorHAnsi" w:eastAsiaTheme="minorEastAsia" w:hAnsiTheme="minorHAnsi" w:cstheme="minorBidi"/>
          <w:b w:val="0"/>
          <w:kern w:val="2"/>
          <w:sz w:val="22"/>
          <w:szCs w:val="22"/>
          <w:lang w:val="pl-PL" w:eastAsia="pl-PL"/>
          <w14:ligatures w14:val="standardContextual"/>
        </w:rPr>
      </w:pPr>
      <w:r w:rsidRPr="00817EA6">
        <w:rPr>
          <w:lang w:val="en-GB" w:eastAsia="de-DE"/>
        </w:rPr>
        <w:fldChar w:fldCharType="begin"/>
      </w:r>
      <w:r w:rsidR="00166BAB" w:rsidRPr="00817EA6">
        <w:rPr>
          <w:lang w:val="en-GB"/>
        </w:rPr>
        <w:instrText xml:space="preserve"> TOC \o "1-4" \h \z \t "Rep Appendix 3;3" </w:instrText>
      </w:r>
      <w:r w:rsidRPr="00817EA6">
        <w:rPr>
          <w:lang w:val="en-GB" w:eastAsia="de-DE"/>
        </w:rPr>
        <w:fldChar w:fldCharType="separate"/>
      </w:r>
      <w:hyperlink w:anchor="_Toc181622169" w:history="1">
        <w:r w:rsidR="00332197" w:rsidRPr="007777F8">
          <w:rPr>
            <w:rStyle w:val="Hipercze"/>
          </w:rPr>
          <w:t>10</w:t>
        </w:r>
        <w:r w:rsidR="00332197">
          <w:rPr>
            <w:rFonts w:asciiTheme="minorHAnsi" w:eastAsiaTheme="minorEastAsia" w:hAnsiTheme="minorHAnsi" w:cstheme="minorBidi"/>
            <w:b w:val="0"/>
            <w:kern w:val="2"/>
            <w:sz w:val="22"/>
            <w:szCs w:val="22"/>
            <w:lang w:val="pl-PL" w:eastAsia="pl-PL"/>
            <w14:ligatures w14:val="standardContextual"/>
          </w:rPr>
          <w:tab/>
        </w:r>
        <w:r w:rsidR="00332197" w:rsidRPr="007777F8">
          <w:rPr>
            <w:rStyle w:val="Hipercze"/>
          </w:rPr>
          <w:t>Relevance of metabolites in groundwater</w:t>
        </w:r>
        <w:r w:rsidR="00332197">
          <w:rPr>
            <w:webHidden/>
          </w:rPr>
          <w:tab/>
        </w:r>
        <w:r w:rsidR="00332197">
          <w:rPr>
            <w:webHidden/>
          </w:rPr>
          <w:fldChar w:fldCharType="begin"/>
        </w:r>
        <w:r w:rsidR="00332197">
          <w:rPr>
            <w:webHidden/>
          </w:rPr>
          <w:instrText xml:space="preserve"> PAGEREF _Toc181622169 \h </w:instrText>
        </w:r>
        <w:r w:rsidR="00332197">
          <w:rPr>
            <w:webHidden/>
          </w:rPr>
        </w:r>
        <w:r w:rsidR="00332197">
          <w:rPr>
            <w:webHidden/>
          </w:rPr>
          <w:fldChar w:fldCharType="separate"/>
        </w:r>
        <w:r w:rsidR="00332197">
          <w:rPr>
            <w:webHidden/>
          </w:rPr>
          <w:t>4</w:t>
        </w:r>
        <w:r w:rsidR="00332197">
          <w:rPr>
            <w:webHidden/>
          </w:rPr>
          <w:fldChar w:fldCharType="end"/>
        </w:r>
      </w:hyperlink>
    </w:p>
    <w:p w14:paraId="30BD5C1F" w14:textId="1B5E59F0" w:rsidR="00332197" w:rsidRDefault="00332197">
      <w:pPr>
        <w:pStyle w:val="Spistreci2"/>
        <w:rPr>
          <w:rFonts w:asciiTheme="minorHAnsi" w:eastAsiaTheme="minorEastAsia" w:hAnsiTheme="minorHAnsi" w:cstheme="minorBidi"/>
          <w:kern w:val="2"/>
          <w:sz w:val="22"/>
          <w:lang w:val="pl-PL" w:eastAsia="pl-PL"/>
          <w14:ligatures w14:val="standardContextual"/>
        </w:rPr>
      </w:pPr>
      <w:hyperlink w:anchor="_Toc181622170" w:history="1">
        <w:r w:rsidRPr="007777F8">
          <w:rPr>
            <w:rStyle w:val="Hipercze"/>
          </w:rPr>
          <w:t>10.1</w:t>
        </w:r>
        <w:r>
          <w:rPr>
            <w:rFonts w:asciiTheme="minorHAnsi" w:eastAsiaTheme="minorEastAsia" w:hAnsiTheme="minorHAnsi" w:cstheme="minorBidi"/>
            <w:kern w:val="2"/>
            <w:sz w:val="22"/>
            <w:lang w:val="pl-PL" w:eastAsia="pl-PL"/>
            <w14:ligatures w14:val="standardContextual"/>
          </w:rPr>
          <w:tab/>
        </w:r>
        <w:r w:rsidRPr="007777F8">
          <w:rPr>
            <w:rStyle w:val="Hipercze"/>
          </w:rPr>
          <w:t>General information</w:t>
        </w:r>
        <w:r>
          <w:rPr>
            <w:webHidden/>
          </w:rPr>
          <w:tab/>
        </w:r>
        <w:r>
          <w:rPr>
            <w:webHidden/>
          </w:rPr>
          <w:fldChar w:fldCharType="begin"/>
        </w:r>
        <w:r>
          <w:rPr>
            <w:webHidden/>
          </w:rPr>
          <w:instrText xml:space="preserve"> PAGEREF _Toc181622170 \h </w:instrText>
        </w:r>
        <w:r>
          <w:rPr>
            <w:webHidden/>
          </w:rPr>
        </w:r>
        <w:r>
          <w:rPr>
            <w:webHidden/>
          </w:rPr>
          <w:fldChar w:fldCharType="separate"/>
        </w:r>
        <w:r>
          <w:rPr>
            <w:webHidden/>
          </w:rPr>
          <w:t>4</w:t>
        </w:r>
        <w:r>
          <w:rPr>
            <w:webHidden/>
          </w:rPr>
          <w:fldChar w:fldCharType="end"/>
        </w:r>
      </w:hyperlink>
    </w:p>
    <w:p w14:paraId="6B83CD0D" w14:textId="2DC7B537" w:rsidR="00332197" w:rsidRDefault="00332197">
      <w:pPr>
        <w:pStyle w:val="Spistreci2"/>
        <w:rPr>
          <w:rFonts w:asciiTheme="minorHAnsi" w:eastAsiaTheme="minorEastAsia" w:hAnsiTheme="minorHAnsi" w:cstheme="minorBidi"/>
          <w:kern w:val="2"/>
          <w:sz w:val="22"/>
          <w:lang w:val="pl-PL" w:eastAsia="pl-PL"/>
          <w14:ligatures w14:val="standardContextual"/>
        </w:rPr>
      </w:pPr>
      <w:hyperlink w:anchor="_Toc181622171" w:history="1">
        <w:r w:rsidRPr="007777F8">
          <w:rPr>
            <w:rStyle w:val="Hipercze"/>
          </w:rPr>
          <w:t>10.2</w:t>
        </w:r>
        <w:r>
          <w:rPr>
            <w:rFonts w:asciiTheme="minorHAnsi" w:eastAsiaTheme="minorEastAsia" w:hAnsiTheme="minorHAnsi" w:cstheme="minorBidi"/>
            <w:kern w:val="2"/>
            <w:sz w:val="22"/>
            <w:lang w:val="pl-PL" w:eastAsia="pl-PL"/>
            <w14:ligatures w14:val="standardContextual"/>
          </w:rPr>
          <w:tab/>
        </w:r>
        <w:r w:rsidRPr="007777F8">
          <w:rPr>
            <w:rStyle w:val="Hipercze"/>
          </w:rPr>
          <w:t>Relevance assessment of M650F03</w:t>
        </w:r>
        <w:r>
          <w:rPr>
            <w:webHidden/>
          </w:rPr>
          <w:tab/>
        </w:r>
        <w:r>
          <w:rPr>
            <w:webHidden/>
          </w:rPr>
          <w:fldChar w:fldCharType="begin"/>
        </w:r>
        <w:r>
          <w:rPr>
            <w:webHidden/>
          </w:rPr>
          <w:instrText xml:space="preserve"> PAGEREF _Toc181622171 \h </w:instrText>
        </w:r>
        <w:r>
          <w:rPr>
            <w:webHidden/>
          </w:rPr>
        </w:r>
        <w:r>
          <w:rPr>
            <w:webHidden/>
          </w:rPr>
          <w:fldChar w:fldCharType="separate"/>
        </w:r>
        <w:r>
          <w:rPr>
            <w:webHidden/>
          </w:rPr>
          <w:t>5</w:t>
        </w:r>
        <w:r>
          <w:rPr>
            <w:webHidden/>
          </w:rPr>
          <w:fldChar w:fldCharType="end"/>
        </w:r>
      </w:hyperlink>
    </w:p>
    <w:p w14:paraId="3A5E69FA" w14:textId="66288000"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72" w:history="1">
        <w:r w:rsidRPr="007777F8">
          <w:rPr>
            <w:rStyle w:val="Hipercze"/>
          </w:rPr>
          <w:t>10.2.1</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1: Exclusion of degradation products of no concern</w:t>
        </w:r>
        <w:r>
          <w:rPr>
            <w:webHidden/>
          </w:rPr>
          <w:tab/>
        </w:r>
        <w:r>
          <w:rPr>
            <w:webHidden/>
          </w:rPr>
          <w:fldChar w:fldCharType="begin"/>
        </w:r>
        <w:r>
          <w:rPr>
            <w:webHidden/>
          </w:rPr>
          <w:instrText xml:space="preserve"> PAGEREF _Toc181622172 \h </w:instrText>
        </w:r>
        <w:r>
          <w:rPr>
            <w:webHidden/>
          </w:rPr>
        </w:r>
        <w:r>
          <w:rPr>
            <w:webHidden/>
          </w:rPr>
          <w:fldChar w:fldCharType="separate"/>
        </w:r>
        <w:r>
          <w:rPr>
            <w:webHidden/>
          </w:rPr>
          <w:t>6</w:t>
        </w:r>
        <w:r>
          <w:rPr>
            <w:webHidden/>
          </w:rPr>
          <w:fldChar w:fldCharType="end"/>
        </w:r>
      </w:hyperlink>
    </w:p>
    <w:p w14:paraId="53147835" w14:textId="76370BC9"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73" w:history="1">
        <w:r w:rsidRPr="007777F8">
          <w:rPr>
            <w:rStyle w:val="Hipercze"/>
          </w:rPr>
          <w:t>10.2.2</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2: Quantification of potential groundwater contamination</w:t>
        </w:r>
        <w:r>
          <w:rPr>
            <w:webHidden/>
          </w:rPr>
          <w:tab/>
        </w:r>
        <w:r>
          <w:rPr>
            <w:webHidden/>
          </w:rPr>
          <w:fldChar w:fldCharType="begin"/>
        </w:r>
        <w:r>
          <w:rPr>
            <w:webHidden/>
          </w:rPr>
          <w:instrText xml:space="preserve"> PAGEREF _Toc181622173 \h </w:instrText>
        </w:r>
        <w:r>
          <w:rPr>
            <w:webHidden/>
          </w:rPr>
        </w:r>
        <w:r>
          <w:rPr>
            <w:webHidden/>
          </w:rPr>
          <w:fldChar w:fldCharType="separate"/>
        </w:r>
        <w:r>
          <w:rPr>
            <w:webHidden/>
          </w:rPr>
          <w:t>6</w:t>
        </w:r>
        <w:r>
          <w:rPr>
            <w:webHidden/>
          </w:rPr>
          <w:fldChar w:fldCharType="end"/>
        </w:r>
      </w:hyperlink>
    </w:p>
    <w:p w14:paraId="535461AB" w14:textId="7B7053CD"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74" w:history="1">
        <w:r w:rsidRPr="007777F8">
          <w:rPr>
            <w:rStyle w:val="Hipercze"/>
          </w:rPr>
          <w:t>10.2.3</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3: Hazard assessment – identification of relevant metabolites</w:t>
        </w:r>
        <w:r>
          <w:rPr>
            <w:webHidden/>
          </w:rPr>
          <w:tab/>
        </w:r>
        <w:r>
          <w:rPr>
            <w:webHidden/>
          </w:rPr>
          <w:fldChar w:fldCharType="begin"/>
        </w:r>
        <w:r>
          <w:rPr>
            <w:webHidden/>
          </w:rPr>
          <w:instrText xml:space="preserve"> PAGEREF _Toc181622174 \h </w:instrText>
        </w:r>
        <w:r>
          <w:rPr>
            <w:webHidden/>
          </w:rPr>
        </w:r>
        <w:r>
          <w:rPr>
            <w:webHidden/>
          </w:rPr>
          <w:fldChar w:fldCharType="separate"/>
        </w:r>
        <w:r>
          <w:rPr>
            <w:webHidden/>
          </w:rPr>
          <w:t>6</w:t>
        </w:r>
        <w:r>
          <w:rPr>
            <w:webHidden/>
          </w:rPr>
          <w:fldChar w:fldCharType="end"/>
        </w:r>
      </w:hyperlink>
    </w:p>
    <w:p w14:paraId="6733C3D9" w14:textId="4AFAEC1D"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75" w:history="1">
        <w:r w:rsidRPr="007777F8">
          <w:rPr>
            <w:rStyle w:val="Hipercze"/>
            <w:lang w:val="en-GB"/>
          </w:rPr>
          <w:t>10.2.3.1</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GB"/>
          </w:rPr>
          <w:t>STEP 3, Stage 1: screening for biological activity</w:t>
        </w:r>
        <w:r>
          <w:rPr>
            <w:webHidden/>
          </w:rPr>
          <w:tab/>
        </w:r>
        <w:r>
          <w:rPr>
            <w:webHidden/>
          </w:rPr>
          <w:fldChar w:fldCharType="begin"/>
        </w:r>
        <w:r>
          <w:rPr>
            <w:webHidden/>
          </w:rPr>
          <w:instrText xml:space="preserve"> PAGEREF _Toc181622175 \h </w:instrText>
        </w:r>
        <w:r>
          <w:rPr>
            <w:webHidden/>
          </w:rPr>
        </w:r>
        <w:r>
          <w:rPr>
            <w:webHidden/>
          </w:rPr>
          <w:fldChar w:fldCharType="separate"/>
        </w:r>
        <w:r>
          <w:rPr>
            <w:webHidden/>
          </w:rPr>
          <w:t>6</w:t>
        </w:r>
        <w:r>
          <w:rPr>
            <w:webHidden/>
          </w:rPr>
          <w:fldChar w:fldCharType="end"/>
        </w:r>
      </w:hyperlink>
    </w:p>
    <w:p w14:paraId="47ED36CB" w14:textId="479DB6DE"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76" w:history="1">
        <w:r w:rsidRPr="007777F8">
          <w:rPr>
            <w:rStyle w:val="Hipercze"/>
            <w:lang w:val="en-GB"/>
          </w:rPr>
          <w:t>10.2.3.2</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GB"/>
          </w:rPr>
          <w:t>STEP 3, Stage 2: screening for genotoxicity</w:t>
        </w:r>
        <w:r>
          <w:rPr>
            <w:webHidden/>
          </w:rPr>
          <w:tab/>
        </w:r>
        <w:r>
          <w:rPr>
            <w:webHidden/>
          </w:rPr>
          <w:fldChar w:fldCharType="begin"/>
        </w:r>
        <w:r>
          <w:rPr>
            <w:webHidden/>
          </w:rPr>
          <w:instrText xml:space="preserve"> PAGEREF _Toc181622176 \h </w:instrText>
        </w:r>
        <w:r>
          <w:rPr>
            <w:webHidden/>
          </w:rPr>
        </w:r>
        <w:r>
          <w:rPr>
            <w:webHidden/>
          </w:rPr>
          <w:fldChar w:fldCharType="separate"/>
        </w:r>
        <w:r>
          <w:rPr>
            <w:webHidden/>
          </w:rPr>
          <w:t>7</w:t>
        </w:r>
        <w:r>
          <w:rPr>
            <w:webHidden/>
          </w:rPr>
          <w:fldChar w:fldCharType="end"/>
        </w:r>
      </w:hyperlink>
    </w:p>
    <w:p w14:paraId="725BF737" w14:textId="7C0F6A19"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77" w:history="1">
        <w:r w:rsidRPr="007777F8">
          <w:rPr>
            <w:rStyle w:val="Hipercze"/>
            <w:lang w:val="en-GB"/>
          </w:rPr>
          <w:t>10.2.3.3</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GB"/>
          </w:rPr>
          <w:t>STEP 3, Stage 3: screening for toxicity</w:t>
        </w:r>
        <w:r>
          <w:rPr>
            <w:webHidden/>
          </w:rPr>
          <w:tab/>
        </w:r>
        <w:r>
          <w:rPr>
            <w:webHidden/>
          </w:rPr>
          <w:fldChar w:fldCharType="begin"/>
        </w:r>
        <w:r>
          <w:rPr>
            <w:webHidden/>
          </w:rPr>
          <w:instrText xml:space="preserve"> PAGEREF _Toc181622177 \h </w:instrText>
        </w:r>
        <w:r>
          <w:rPr>
            <w:webHidden/>
          </w:rPr>
        </w:r>
        <w:r>
          <w:rPr>
            <w:webHidden/>
          </w:rPr>
          <w:fldChar w:fldCharType="separate"/>
        </w:r>
        <w:r>
          <w:rPr>
            <w:webHidden/>
          </w:rPr>
          <w:t>7</w:t>
        </w:r>
        <w:r>
          <w:rPr>
            <w:webHidden/>
          </w:rPr>
          <w:fldChar w:fldCharType="end"/>
        </w:r>
      </w:hyperlink>
    </w:p>
    <w:p w14:paraId="4D27E148" w14:textId="5F3C1D79"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78" w:history="1">
        <w:r w:rsidRPr="007777F8">
          <w:rPr>
            <w:rStyle w:val="Hipercze"/>
          </w:rPr>
          <w:t>10.2.4</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4: Exposure assessment – threshold of concern approach</w:t>
        </w:r>
        <w:r>
          <w:rPr>
            <w:webHidden/>
          </w:rPr>
          <w:tab/>
        </w:r>
        <w:r>
          <w:rPr>
            <w:webHidden/>
          </w:rPr>
          <w:fldChar w:fldCharType="begin"/>
        </w:r>
        <w:r>
          <w:rPr>
            <w:webHidden/>
          </w:rPr>
          <w:instrText xml:space="preserve"> PAGEREF _Toc181622178 \h </w:instrText>
        </w:r>
        <w:r>
          <w:rPr>
            <w:webHidden/>
          </w:rPr>
        </w:r>
        <w:r>
          <w:rPr>
            <w:webHidden/>
          </w:rPr>
          <w:fldChar w:fldCharType="separate"/>
        </w:r>
        <w:r>
          <w:rPr>
            <w:webHidden/>
          </w:rPr>
          <w:t>7</w:t>
        </w:r>
        <w:r>
          <w:rPr>
            <w:webHidden/>
          </w:rPr>
          <w:fldChar w:fldCharType="end"/>
        </w:r>
      </w:hyperlink>
    </w:p>
    <w:p w14:paraId="0DFA5B01" w14:textId="03C74694"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79" w:history="1">
        <w:r w:rsidRPr="007777F8">
          <w:rPr>
            <w:rStyle w:val="Hipercze"/>
          </w:rPr>
          <w:t>10.2.5</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5: Refined risk assessment</w:t>
        </w:r>
        <w:r>
          <w:rPr>
            <w:webHidden/>
          </w:rPr>
          <w:tab/>
        </w:r>
        <w:r>
          <w:rPr>
            <w:webHidden/>
          </w:rPr>
          <w:fldChar w:fldCharType="begin"/>
        </w:r>
        <w:r>
          <w:rPr>
            <w:webHidden/>
          </w:rPr>
          <w:instrText xml:space="preserve"> PAGEREF _Toc181622179 \h </w:instrText>
        </w:r>
        <w:r>
          <w:rPr>
            <w:webHidden/>
          </w:rPr>
        </w:r>
        <w:r>
          <w:rPr>
            <w:webHidden/>
          </w:rPr>
          <w:fldChar w:fldCharType="separate"/>
        </w:r>
        <w:r>
          <w:rPr>
            <w:webHidden/>
          </w:rPr>
          <w:t>7</w:t>
        </w:r>
        <w:r>
          <w:rPr>
            <w:webHidden/>
          </w:rPr>
          <w:fldChar w:fldCharType="end"/>
        </w:r>
      </w:hyperlink>
    </w:p>
    <w:p w14:paraId="5881F2A7" w14:textId="5EAF5513" w:rsidR="00332197" w:rsidRDefault="00332197">
      <w:pPr>
        <w:pStyle w:val="Spistreci2"/>
        <w:rPr>
          <w:rFonts w:asciiTheme="minorHAnsi" w:eastAsiaTheme="minorEastAsia" w:hAnsiTheme="minorHAnsi" w:cstheme="minorBidi"/>
          <w:kern w:val="2"/>
          <w:sz w:val="22"/>
          <w:lang w:val="pl-PL" w:eastAsia="pl-PL"/>
          <w14:ligatures w14:val="standardContextual"/>
        </w:rPr>
      </w:pPr>
      <w:hyperlink w:anchor="_Toc181622180" w:history="1">
        <w:r w:rsidRPr="007777F8">
          <w:rPr>
            <w:rStyle w:val="Hipercze"/>
          </w:rPr>
          <w:t>10.3</w:t>
        </w:r>
        <w:r>
          <w:rPr>
            <w:rFonts w:asciiTheme="minorHAnsi" w:eastAsiaTheme="minorEastAsia" w:hAnsiTheme="minorHAnsi" w:cstheme="minorBidi"/>
            <w:kern w:val="2"/>
            <w:sz w:val="22"/>
            <w:lang w:val="pl-PL" w:eastAsia="pl-PL"/>
            <w14:ligatures w14:val="standardContextual"/>
          </w:rPr>
          <w:tab/>
        </w:r>
        <w:r w:rsidRPr="007777F8">
          <w:rPr>
            <w:rStyle w:val="Hipercze"/>
          </w:rPr>
          <w:t>Relevance assessment of M650F04</w:t>
        </w:r>
        <w:r>
          <w:rPr>
            <w:webHidden/>
          </w:rPr>
          <w:tab/>
        </w:r>
        <w:r>
          <w:rPr>
            <w:webHidden/>
          </w:rPr>
          <w:fldChar w:fldCharType="begin"/>
        </w:r>
        <w:r>
          <w:rPr>
            <w:webHidden/>
          </w:rPr>
          <w:instrText xml:space="preserve"> PAGEREF _Toc181622180 \h </w:instrText>
        </w:r>
        <w:r>
          <w:rPr>
            <w:webHidden/>
          </w:rPr>
        </w:r>
        <w:r>
          <w:rPr>
            <w:webHidden/>
          </w:rPr>
          <w:fldChar w:fldCharType="separate"/>
        </w:r>
        <w:r>
          <w:rPr>
            <w:webHidden/>
          </w:rPr>
          <w:t>8</w:t>
        </w:r>
        <w:r>
          <w:rPr>
            <w:webHidden/>
          </w:rPr>
          <w:fldChar w:fldCharType="end"/>
        </w:r>
      </w:hyperlink>
    </w:p>
    <w:p w14:paraId="0C46E0D7" w14:textId="41866C91"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81" w:history="1">
        <w:r w:rsidRPr="007777F8">
          <w:rPr>
            <w:rStyle w:val="Hipercze"/>
          </w:rPr>
          <w:t>10.3.1</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1: Exclusion of degradation products of no concerns</w:t>
        </w:r>
        <w:r>
          <w:rPr>
            <w:webHidden/>
          </w:rPr>
          <w:tab/>
        </w:r>
        <w:r>
          <w:rPr>
            <w:webHidden/>
          </w:rPr>
          <w:fldChar w:fldCharType="begin"/>
        </w:r>
        <w:r>
          <w:rPr>
            <w:webHidden/>
          </w:rPr>
          <w:instrText xml:space="preserve"> PAGEREF _Toc181622181 \h </w:instrText>
        </w:r>
        <w:r>
          <w:rPr>
            <w:webHidden/>
          </w:rPr>
        </w:r>
        <w:r>
          <w:rPr>
            <w:webHidden/>
          </w:rPr>
          <w:fldChar w:fldCharType="separate"/>
        </w:r>
        <w:r>
          <w:rPr>
            <w:webHidden/>
          </w:rPr>
          <w:t>9</w:t>
        </w:r>
        <w:r>
          <w:rPr>
            <w:webHidden/>
          </w:rPr>
          <w:fldChar w:fldCharType="end"/>
        </w:r>
      </w:hyperlink>
    </w:p>
    <w:p w14:paraId="162C485D" w14:textId="055DACDD"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82" w:history="1">
        <w:r w:rsidRPr="007777F8">
          <w:rPr>
            <w:rStyle w:val="Hipercze"/>
          </w:rPr>
          <w:t>10.3.2</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2: Quantification of potential groundwater contamination</w:t>
        </w:r>
        <w:r>
          <w:rPr>
            <w:webHidden/>
          </w:rPr>
          <w:tab/>
        </w:r>
        <w:r>
          <w:rPr>
            <w:webHidden/>
          </w:rPr>
          <w:fldChar w:fldCharType="begin"/>
        </w:r>
        <w:r>
          <w:rPr>
            <w:webHidden/>
          </w:rPr>
          <w:instrText xml:space="preserve"> PAGEREF _Toc181622182 \h </w:instrText>
        </w:r>
        <w:r>
          <w:rPr>
            <w:webHidden/>
          </w:rPr>
        </w:r>
        <w:r>
          <w:rPr>
            <w:webHidden/>
          </w:rPr>
          <w:fldChar w:fldCharType="separate"/>
        </w:r>
        <w:r>
          <w:rPr>
            <w:webHidden/>
          </w:rPr>
          <w:t>9</w:t>
        </w:r>
        <w:r>
          <w:rPr>
            <w:webHidden/>
          </w:rPr>
          <w:fldChar w:fldCharType="end"/>
        </w:r>
      </w:hyperlink>
    </w:p>
    <w:p w14:paraId="3BE0CA5D" w14:textId="5CFF3ABB"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83" w:history="1">
        <w:r w:rsidRPr="007777F8">
          <w:rPr>
            <w:rStyle w:val="Hipercze"/>
          </w:rPr>
          <w:t>10.3.3</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3: Hazard assessment – identification of relevant metabolites</w:t>
        </w:r>
        <w:r>
          <w:rPr>
            <w:webHidden/>
          </w:rPr>
          <w:tab/>
        </w:r>
        <w:r>
          <w:rPr>
            <w:webHidden/>
          </w:rPr>
          <w:fldChar w:fldCharType="begin"/>
        </w:r>
        <w:r>
          <w:rPr>
            <w:webHidden/>
          </w:rPr>
          <w:instrText xml:space="preserve"> PAGEREF _Toc181622183 \h </w:instrText>
        </w:r>
        <w:r>
          <w:rPr>
            <w:webHidden/>
          </w:rPr>
        </w:r>
        <w:r>
          <w:rPr>
            <w:webHidden/>
          </w:rPr>
          <w:fldChar w:fldCharType="separate"/>
        </w:r>
        <w:r>
          <w:rPr>
            <w:webHidden/>
          </w:rPr>
          <w:t>9</w:t>
        </w:r>
        <w:r>
          <w:rPr>
            <w:webHidden/>
          </w:rPr>
          <w:fldChar w:fldCharType="end"/>
        </w:r>
      </w:hyperlink>
    </w:p>
    <w:p w14:paraId="39C01C90" w14:textId="57B9D761"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84" w:history="1">
        <w:r w:rsidRPr="007777F8">
          <w:rPr>
            <w:rStyle w:val="Hipercze"/>
            <w:lang w:val="en-US"/>
          </w:rPr>
          <w:t>10.3.3.1</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GB"/>
          </w:rPr>
          <w:t>STEP 3, Stage 1: screening for biological activity</w:t>
        </w:r>
        <w:r>
          <w:rPr>
            <w:webHidden/>
          </w:rPr>
          <w:tab/>
        </w:r>
        <w:r>
          <w:rPr>
            <w:webHidden/>
          </w:rPr>
          <w:fldChar w:fldCharType="begin"/>
        </w:r>
        <w:r>
          <w:rPr>
            <w:webHidden/>
          </w:rPr>
          <w:instrText xml:space="preserve"> PAGEREF _Toc181622184 \h </w:instrText>
        </w:r>
        <w:r>
          <w:rPr>
            <w:webHidden/>
          </w:rPr>
        </w:r>
        <w:r>
          <w:rPr>
            <w:webHidden/>
          </w:rPr>
          <w:fldChar w:fldCharType="separate"/>
        </w:r>
        <w:r>
          <w:rPr>
            <w:webHidden/>
          </w:rPr>
          <w:t>9</w:t>
        </w:r>
        <w:r>
          <w:rPr>
            <w:webHidden/>
          </w:rPr>
          <w:fldChar w:fldCharType="end"/>
        </w:r>
      </w:hyperlink>
    </w:p>
    <w:p w14:paraId="1A14A4CB" w14:textId="2BBE41B3"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85" w:history="1">
        <w:r w:rsidRPr="007777F8">
          <w:rPr>
            <w:rStyle w:val="Hipercze"/>
            <w:lang w:val="en-GB"/>
          </w:rPr>
          <w:t>10.3.3.2</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GB"/>
          </w:rPr>
          <w:t>STEP 3, Stage 2: screening for genotoxicity</w:t>
        </w:r>
        <w:r>
          <w:rPr>
            <w:webHidden/>
          </w:rPr>
          <w:tab/>
        </w:r>
        <w:r>
          <w:rPr>
            <w:webHidden/>
          </w:rPr>
          <w:fldChar w:fldCharType="begin"/>
        </w:r>
        <w:r>
          <w:rPr>
            <w:webHidden/>
          </w:rPr>
          <w:instrText xml:space="preserve"> PAGEREF _Toc181622185 \h </w:instrText>
        </w:r>
        <w:r>
          <w:rPr>
            <w:webHidden/>
          </w:rPr>
        </w:r>
        <w:r>
          <w:rPr>
            <w:webHidden/>
          </w:rPr>
          <w:fldChar w:fldCharType="separate"/>
        </w:r>
        <w:r>
          <w:rPr>
            <w:webHidden/>
          </w:rPr>
          <w:t>9</w:t>
        </w:r>
        <w:r>
          <w:rPr>
            <w:webHidden/>
          </w:rPr>
          <w:fldChar w:fldCharType="end"/>
        </w:r>
      </w:hyperlink>
    </w:p>
    <w:p w14:paraId="2502C97A" w14:textId="7854BCAC" w:rsidR="00332197" w:rsidRDefault="00332197">
      <w:pPr>
        <w:pStyle w:val="Spistreci4"/>
        <w:rPr>
          <w:rFonts w:asciiTheme="minorHAnsi" w:eastAsiaTheme="minorEastAsia" w:hAnsiTheme="minorHAnsi" w:cstheme="minorBidi"/>
          <w:kern w:val="2"/>
          <w:sz w:val="22"/>
          <w:szCs w:val="22"/>
          <w:lang w:val="pl-PL" w:eastAsia="pl-PL"/>
          <w14:ligatures w14:val="standardContextual"/>
        </w:rPr>
      </w:pPr>
      <w:hyperlink w:anchor="_Toc181622186" w:history="1">
        <w:r w:rsidRPr="007777F8">
          <w:rPr>
            <w:rStyle w:val="Hipercze"/>
            <w:lang w:val="en-US"/>
          </w:rPr>
          <w:t>10.3.3.3</w:t>
        </w:r>
        <w:r>
          <w:rPr>
            <w:rFonts w:asciiTheme="minorHAnsi" w:eastAsiaTheme="minorEastAsia" w:hAnsiTheme="minorHAnsi" w:cstheme="minorBidi"/>
            <w:kern w:val="2"/>
            <w:sz w:val="22"/>
            <w:szCs w:val="22"/>
            <w:lang w:val="pl-PL" w:eastAsia="pl-PL"/>
            <w14:ligatures w14:val="standardContextual"/>
          </w:rPr>
          <w:tab/>
        </w:r>
        <w:r w:rsidRPr="007777F8">
          <w:rPr>
            <w:rStyle w:val="Hipercze"/>
            <w:lang w:val="en-US"/>
          </w:rPr>
          <w:t>STEP 3, Stage 3: screening for toxicity</w:t>
        </w:r>
        <w:r>
          <w:rPr>
            <w:webHidden/>
          </w:rPr>
          <w:tab/>
        </w:r>
        <w:r>
          <w:rPr>
            <w:webHidden/>
          </w:rPr>
          <w:fldChar w:fldCharType="begin"/>
        </w:r>
        <w:r>
          <w:rPr>
            <w:webHidden/>
          </w:rPr>
          <w:instrText xml:space="preserve"> PAGEREF _Toc181622186 \h </w:instrText>
        </w:r>
        <w:r>
          <w:rPr>
            <w:webHidden/>
          </w:rPr>
        </w:r>
        <w:r>
          <w:rPr>
            <w:webHidden/>
          </w:rPr>
          <w:fldChar w:fldCharType="separate"/>
        </w:r>
        <w:r>
          <w:rPr>
            <w:webHidden/>
          </w:rPr>
          <w:t>10</w:t>
        </w:r>
        <w:r>
          <w:rPr>
            <w:webHidden/>
          </w:rPr>
          <w:fldChar w:fldCharType="end"/>
        </w:r>
      </w:hyperlink>
    </w:p>
    <w:p w14:paraId="76F81CF7" w14:textId="79F94882"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87" w:history="1">
        <w:r w:rsidRPr="007777F8">
          <w:rPr>
            <w:rStyle w:val="Hipercze"/>
          </w:rPr>
          <w:t>10.3.4</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4: Exposure assessment – threshold of concern approach</w:t>
        </w:r>
        <w:r>
          <w:rPr>
            <w:webHidden/>
          </w:rPr>
          <w:tab/>
        </w:r>
        <w:r>
          <w:rPr>
            <w:webHidden/>
          </w:rPr>
          <w:fldChar w:fldCharType="begin"/>
        </w:r>
        <w:r>
          <w:rPr>
            <w:webHidden/>
          </w:rPr>
          <w:instrText xml:space="preserve"> PAGEREF _Toc181622187 \h </w:instrText>
        </w:r>
        <w:r>
          <w:rPr>
            <w:webHidden/>
          </w:rPr>
        </w:r>
        <w:r>
          <w:rPr>
            <w:webHidden/>
          </w:rPr>
          <w:fldChar w:fldCharType="separate"/>
        </w:r>
        <w:r>
          <w:rPr>
            <w:webHidden/>
          </w:rPr>
          <w:t>10</w:t>
        </w:r>
        <w:r>
          <w:rPr>
            <w:webHidden/>
          </w:rPr>
          <w:fldChar w:fldCharType="end"/>
        </w:r>
      </w:hyperlink>
    </w:p>
    <w:p w14:paraId="277C3328" w14:textId="31B23C66" w:rsidR="00332197" w:rsidRDefault="00332197">
      <w:pPr>
        <w:pStyle w:val="Spistreci3"/>
        <w:rPr>
          <w:rFonts w:asciiTheme="minorHAnsi" w:eastAsiaTheme="minorEastAsia" w:hAnsiTheme="minorHAnsi" w:cstheme="minorBidi"/>
          <w:kern w:val="2"/>
          <w:sz w:val="22"/>
          <w:szCs w:val="22"/>
          <w:lang w:val="pl-PL" w:eastAsia="pl-PL"/>
          <w14:ligatures w14:val="standardContextual"/>
        </w:rPr>
      </w:pPr>
      <w:hyperlink w:anchor="_Toc181622188" w:history="1">
        <w:r w:rsidRPr="007777F8">
          <w:rPr>
            <w:rStyle w:val="Hipercze"/>
          </w:rPr>
          <w:t>10.3.5</w:t>
        </w:r>
        <w:r>
          <w:rPr>
            <w:rFonts w:asciiTheme="minorHAnsi" w:eastAsiaTheme="minorEastAsia" w:hAnsiTheme="minorHAnsi" w:cstheme="minorBidi"/>
            <w:kern w:val="2"/>
            <w:sz w:val="22"/>
            <w:szCs w:val="22"/>
            <w:lang w:val="pl-PL" w:eastAsia="pl-PL"/>
            <w14:ligatures w14:val="standardContextual"/>
          </w:rPr>
          <w:tab/>
        </w:r>
        <w:r w:rsidRPr="007777F8">
          <w:rPr>
            <w:rStyle w:val="Hipercze"/>
          </w:rPr>
          <w:t>STEP 5: Refined risk assessment</w:t>
        </w:r>
        <w:r>
          <w:rPr>
            <w:webHidden/>
          </w:rPr>
          <w:tab/>
        </w:r>
        <w:r>
          <w:rPr>
            <w:webHidden/>
          </w:rPr>
          <w:fldChar w:fldCharType="begin"/>
        </w:r>
        <w:r>
          <w:rPr>
            <w:webHidden/>
          </w:rPr>
          <w:instrText xml:space="preserve"> PAGEREF _Toc181622188 \h </w:instrText>
        </w:r>
        <w:r>
          <w:rPr>
            <w:webHidden/>
          </w:rPr>
        </w:r>
        <w:r>
          <w:rPr>
            <w:webHidden/>
          </w:rPr>
          <w:fldChar w:fldCharType="separate"/>
        </w:r>
        <w:r>
          <w:rPr>
            <w:webHidden/>
          </w:rPr>
          <w:t>10</w:t>
        </w:r>
        <w:r>
          <w:rPr>
            <w:webHidden/>
          </w:rPr>
          <w:fldChar w:fldCharType="end"/>
        </w:r>
      </w:hyperlink>
    </w:p>
    <w:p w14:paraId="62C35015" w14:textId="168CC38E" w:rsidR="00332197" w:rsidRDefault="00332197">
      <w:pPr>
        <w:pStyle w:val="Spistreci2"/>
        <w:rPr>
          <w:rFonts w:asciiTheme="minorHAnsi" w:eastAsiaTheme="minorEastAsia" w:hAnsiTheme="minorHAnsi" w:cstheme="minorBidi"/>
          <w:kern w:val="2"/>
          <w:sz w:val="22"/>
          <w:lang w:val="pl-PL" w:eastAsia="pl-PL"/>
          <w14:ligatures w14:val="standardContextual"/>
        </w:rPr>
      </w:pPr>
      <w:hyperlink w:anchor="_Toc181622189" w:history="1">
        <w:r w:rsidRPr="007777F8">
          <w:rPr>
            <w:rStyle w:val="Hipercze"/>
            <w:highlight w:val="yellow"/>
          </w:rPr>
          <w:t>10.4</w:t>
        </w:r>
        <w:r>
          <w:rPr>
            <w:rFonts w:asciiTheme="minorHAnsi" w:eastAsiaTheme="minorEastAsia" w:hAnsiTheme="minorHAnsi" w:cstheme="minorBidi"/>
            <w:kern w:val="2"/>
            <w:sz w:val="22"/>
            <w:lang w:val="pl-PL" w:eastAsia="pl-PL"/>
            <w14:ligatures w14:val="standardContextual"/>
          </w:rPr>
          <w:tab/>
        </w:r>
        <w:r w:rsidRPr="007777F8">
          <w:rPr>
            <w:rStyle w:val="Hipercze"/>
            <w:highlight w:val="yellow"/>
          </w:rPr>
          <w:t>Cumulative risk assessment to M650F03 and M650F04</w:t>
        </w:r>
        <w:r>
          <w:rPr>
            <w:webHidden/>
          </w:rPr>
          <w:tab/>
        </w:r>
        <w:r>
          <w:rPr>
            <w:webHidden/>
          </w:rPr>
          <w:fldChar w:fldCharType="begin"/>
        </w:r>
        <w:r>
          <w:rPr>
            <w:webHidden/>
          </w:rPr>
          <w:instrText xml:space="preserve"> PAGEREF _Toc181622189 \h </w:instrText>
        </w:r>
        <w:r>
          <w:rPr>
            <w:webHidden/>
          </w:rPr>
        </w:r>
        <w:r>
          <w:rPr>
            <w:webHidden/>
          </w:rPr>
          <w:fldChar w:fldCharType="separate"/>
        </w:r>
        <w:r>
          <w:rPr>
            <w:webHidden/>
          </w:rPr>
          <w:t>11</w:t>
        </w:r>
        <w:r>
          <w:rPr>
            <w:webHidden/>
          </w:rPr>
          <w:fldChar w:fldCharType="end"/>
        </w:r>
      </w:hyperlink>
    </w:p>
    <w:p w14:paraId="79E42B90" w14:textId="5F65059F" w:rsidR="00332197" w:rsidRDefault="00332197">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2190" w:history="1">
        <w:r w:rsidRPr="007777F8">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7777F8">
          <w:rPr>
            <w:rStyle w:val="Hipercze"/>
          </w:rPr>
          <w:t>Lists of data considered in support of the evaluation</w:t>
        </w:r>
        <w:r>
          <w:rPr>
            <w:webHidden/>
          </w:rPr>
          <w:tab/>
        </w:r>
        <w:r>
          <w:rPr>
            <w:webHidden/>
          </w:rPr>
          <w:fldChar w:fldCharType="begin"/>
        </w:r>
        <w:r>
          <w:rPr>
            <w:webHidden/>
          </w:rPr>
          <w:instrText xml:space="preserve"> PAGEREF _Toc181622190 \h </w:instrText>
        </w:r>
        <w:r>
          <w:rPr>
            <w:webHidden/>
          </w:rPr>
        </w:r>
        <w:r>
          <w:rPr>
            <w:webHidden/>
          </w:rPr>
          <w:fldChar w:fldCharType="separate"/>
        </w:r>
        <w:r>
          <w:rPr>
            <w:webHidden/>
          </w:rPr>
          <w:t>12</w:t>
        </w:r>
        <w:r>
          <w:rPr>
            <w:webHidden/>
          </w:rPr>
          <w:fldChar w:fldCharType="end"/>
        </w:r>
      </w:hyperlink>
    </w:p>
    <w:p w14:paraId="41682FC5" w14:textId="5E42F3B0" w:rsidR="00332197" w:rsidRDefault="00332197">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2191" w:history="1">
        <w:r w:rsidRPr="007777F8">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7777F8">
          <w:rPr>
            <w:rStyle w:val="Hipercze"/>
          </w:rPr>
          <w:t>Additional information</w:t>
        </w:r>
        <w:r>
          <w:rPr>
            <w:webHidden/>
          </w:rPr>
          <w:tab/>
        </w:r>
        <w:r>
          <w:rPr>
            <w:webHidden/>
          </w:rPr>
          <w:fldChar w:fldCharType="begin"/>
        </w:r>
        <w:r>
          <w:rPr>
            <w:webHidden/>
          </w:rPr>
          <w:instrText xml:space="preserve"> PAGEREF _Toc181622191 \h </w:instrText>
        </w:r>
        <w:r>
          <w:rPr>
            <w:webHidden/>
          </w:rPr>
        </w:r>
        <w:r>
          <w:rPr>
            <w:webHidden/>
          </w:rPr>
          <w:fldChar w:fldCharType="separate"/>
        </w:r>
        <w:r>
          <w:rPr>
            <w:webHidden/>
          </w:rPr>
          <w:t>14</w:t>
        </w:r>
        <w:r>
          <w:rPr>
            <w:webHidden/>
          </w:rPr>
          <w:fldChar w:fldCharType="end"/>
        </w:r>
      </w:hyperlink>
    </w:p>
    <w:p w14:paraId="0C3203C7" w14:textId="54FD672A" w:rsidR="00C87689" w:rsidRPr="00817EA6" w:rsidRDefault="00BA7644" w:rsidP="002442E5">
      <w:pPr>
        <w:pStyle w:val="RepStandard"/>
      </w:pPr>
      <w:r w:rsidRPr="00817EA6">
        <w:fldChar w:fldCharType="end"/>
      </w:r>
    </w:p>
    <w:p w14:paraId="75C7B1D2" w14:textId="77777777" w:rsidR="007000DA" w:rsidRPr="00817EA6" w:rsidRDefault="007000DA" w:rsidP="002442E5">
      <w:pPr>
        <w:pStyle w:val="RepStandard"/>
        <w:sectPr w:rsidR="007000DA" w:rsidRPr="00817EA6" w:rsidSect="0091063C">
          <w:footerReference w:type="even" r:id="rId15"/>
          <w:footerReference w:type="default" r:id="rId16"/>
          <w:footerReference w:type="first" r:id="rId17"/>
          <w:pgSz w:w="11906" w:h="16838" w:code="9"/>
          <w:pgMar w:top="1417" w:right="1134" w:bottom="1134" w:left="1417" w:header="709" w:footer="709" w:gutter="0"/>
          <w:pgNumType w:chapSep="period"/>
          <w:cols w:space="708"/>
          <w:docGrid w:linePitch="360"/>
        </w:sectPr>
      </w:pPr>
    </w:p>
    <w:p w14:paraId="0A34F762" w14:textId="77777777" w:rsidR="00D728CA" w:rsidRPr="00817EA6" w:rsidRDefault="00D728CA" w:rsidP="00D728CA">
      <w:pPr>
        <w:pStyle w:val="Nagwek1"/>
      </w:pPr>
      <w:bookmarkStart w:id="0" w:name="_Toc413754712"/>
      <w:bookmarkStart w:id="1" w:name="_Toc413755112"/>
      <w:bookmarkStart w:id="2" w:name="_Toc413755138"/>
      <w:bookmarkStart w:id="3" w:name="_Toc413755163"/>
      <w:bookmarkStart w:id="4" w:name="_Toc413941039"/>
      <w:bookmarkStart w:id="5" w:name="_Toc413943189"/>
      <w:bookmarkStart w:id="6" w:name="_Toc414542738"/>
      <w:bookmarkStart w:id="7" w:name="_Toc414544988"/>
      <w:bookmarkStart w:id="8" w:name="_Toc414545015"/>
      <w:bookmarkStart w:id="9" w:name="_Toc414608123"/>
      <w:bookmarkStart w:id="10" w:name="_Toc415230177"/>
      <w:bookmarkStart w:id="11" w:name="_Toc181622169"/>
      <w:bookmarkStart w:id="12" w:name="_Toc412025983"/>
      <w:bookmarkStart w:id="13" w:name="_Toc208799233"/>
      <w:bookmarkStart w:id="14" w:name="_Toc233107964"/>
      <w:bookmarkStart w:id="15" w:name="_Toc236451823"/>
      <w:bookmarkStart w:id="16" w:name="_Toc240627023"/>
      <w:r w:rsidRPr="00817EA6">
        <w:lastRenderedPageBreak/>
        <w:t>Relevance of metabolites in groundwater</w:t>
      </w:r>
      <w:bookmarkEnd w:id="0"/>
      <w:bookmarkEnd w:id="1"/>
      <w:bookmarkEnd w:id="2"/>
      <w:bookmarkEnd w:id="3"/>
      <w:bookmarkEnd w:id="4"/>
      <w:bookmarkEnd w:id="5"/>
      <w:bookmarkEnd w:id="6"/>
      <w:bookmarkEnd w:id="7"/>
      <w:bookmarkEnd w:id="8"/>
      <w:bookmarkEnd w:id="9"/>
      <w:bookmarkEnd w:id="10"/>
      <w:bookmarkEnd w:id="11"/>
    </w:p>
    <w:p w14:paraId="2D032F2A" w14:textId="77777777" w:rsidR="00E27A13" w:rsidRPr="00817EA6" w:rsidRDefault="00E27A13" w:rsidP="00E27A13">
      <w:pPr>
        <w:pStyle w:val="Nagwek2"/>
      </w:pPr>
      <w:bookmarkStart w:id="17" w:name="_Toc413755113"/>
      <w:bookmarkStart w:id="18" w:name="_Toc413755139"/>
      <w:bookmarkStart w:id="19" w:name="_Toc413755164"/>
      <w:bookmarkStart w:id="20" w:name="_Toc413941040"/>
      <w:bookmarkStart w:id="21" w:name="_Toc413943190"/>
      <w:bookmarkStart w:id="22" w:name="_Toc414542739"/>
      <w:bookmarkStart w:id="23" w:name="_Toc414544989"/>
      <w:bookmarkStart w:id="24" w:name="_Toc414545016"/>
      <w:bookmarkStart w:id="25" w:name="_Toc414608124"/>
      <w:bookmarkStart w:id="26" w:name="_Toc415230178"/>
      <w:bookmarkStart w:id="27" w:name="_Toc181622170"/>
      <w:r w:rsidRPr="00817EA6">
        <w:t>General information</w:t>
      </w:r>
      <w:bookmarkEnd w:id="17"/>
      <w:bookmarkEnd w:id="18"/>
      <w:bookmarkEnd w:id="19"/>
      <w:bookmarkEnd w:id="20"/>
      <w:bookmarkEnd w:id="21"/>
      <w:bookmarkEnd w:id="22"/>
      <w:bookmarkEnd w:id="23"/>
      <w:bookmarkEnd w:id="24"/>
      <w:bookmarkEnd w:id="25"/>
      <w:bookmarkEnd w:id="26"/>
      <w:bookmarkEnd w:id="27"/>
    </w:p>
    <w:bookmarkEnd w:id="12"/>
    <w:p w14:paraId="3D9554DA" w14:textId="27A2640E" w:rsidR="00453127" w:rsidRPr="00817EA6" w:rsidRDefault="00453127" w:rsidP="00453127">
      <w:pPr>
        <w:pStyle w:val="RepStandard"/>
      </w:pPr>
      <w:r w:rsidRPr="00817EA6">
        <w:t xml:space="preserve">The </w:t>
      </w:r>
      <w:proofErr w:type="spellStart"/>
      <w:r w:rsidRPr="00817EA6">
        <w:t>ametoctradin</w:t>
      </w:r>
      <w:proofErr w:type="spellEnd"/>
      <w:r w:rsidRPr="00817EA6">
        <w:t xml:space="preserve"> metabolites M650F03 and M650F04 are predicted to occur in groundwater at concentrations above 0.1 µg/L (</w:t>
      </w:r>
      <w:bookmarkStart w:id="28" w:name="_Hlk43119460"/>
      <w:r w:rsidRPr="00817EA6">
        <w:t xml:space="preserve">see </w:t>
      </w:r>
      <w:proofErr w:type="spellStart"/>
      <w:r w:rsidRPr="00817EA6">
        <w:t>dRR</w:t>
      </w:r>
      <w:proofErr w:type="spellEnd"/>
      <w:r w:rsidRPr="00817EA6">
        <w:t xml:space="preserve"> part B, section 8, Chapter 8.8.2</w:t>
      </w:r>
      <w:bookmarkEnd w:id="28"/>
      <w:r w:rsidRPr="00817EA6">
        <w:t>). Assessment of the relevance of these metabolites according to the stepwise procedure of the EC guidance document SANCO/221/2000 –rev.11 (EC, 2021)</w:t>
      </w:r>
      <w:r w:rsidRPr="00817EA6">
        <w:rPr>
          <w:rStyle w:val="Odwoanieprzypisudolnego"/>
        </w:rPr>
        <w:footnoteReference w:id="1"/>
      </w:r>
      <w:r w:rsidRPr="00817EA6">
        <w:t xml:space="preserve"> is therefore required. </w:t>
      </w:r>
    </w:p>
    <w:p w14:paraId="24E51759" w14:textId="77777777" w:rsidR="00453127" w:rsidRPr="00817EA6" w:rsidRDefault="00453127" w:rsidP="00453127">
      <w:pPr>
        <w:pStyle w:val="RepStandard"/>
      </w:pPr>
    </w:p>
    <w:p w14:paraId="03BD773E" w14:textId="1DB66041" w:rsidR="00453127" w:rsidRDefault="00453127" w:rsidP="00453127">
      <w:pPr>
        <w:pStyle w:val="RepStandard"/>
      </w:pPr>
      <w:r w:rsidRPr="00817EA6">
        <w:t xml:space="preserve">General information on the </w:t>
      </w:r>
      <w:proofErr w:type="spellStart"/>
      <w:r w:rsidRPr="00817EA6">
        <w:t>ametoctradin</w:t>
      </w:r>
      <w:proofErr w:type="spellEnd"/>
      <w:r w:rsidRPr="00817EA6">
        <w:t xml:space="preserve"> metabolites is provided in </w:t>
      </w:r>
      <w:r w:rsidRPr="00817EA6">
        <w:fldChar w:fldCharType="begin"/>
      </w:r>
      <w:r w:rsidRPr="00817EA6">
        <w:instrText xml:space="preserve"> REF _Ref413754898 \h </w:instrText>
      </w:r>
      <w:r w:rsidR="00817EA6">
        <w:instrText xml:space="preserve"> \* MERGEFORMAT </w:instrText>
      </w:r>
      <w:r w:rsidRPr="00817EA6">
        <w:fldChar w:fldCharType="separate"/>
      </w:r>
      <w:r w:rsidR="00727948" w:rsidRPr="00817EA6">
        <w:t>Table </w:t>
      </w:r>
      <w:r w:rsidR="00727948">
        <w:t>10.1</w:t>
      </w:r>
      <w:r w:rsidR="00727948" w:rsidRPr="00817EA6">
        <w:noBreakHyphen/>
      </w:r>
      <w:r w:rsidR="00727948">
        <w:t>1</w:t>
      </w:r>
      <w:r w:rsidRPr="00817EA6">
        <w:fldChar w:fldCharType="end"/>
      </w:r>
      <w:r w:rsidRPr="00817EA6">
        <w:t xml:space="preserve">. The impact of the relevance assessment on whether a particular GAP use leads to acceptable risk or not is presented in the summary of the </w:t>
      </w:r>
      <w:proofErr w:type="spellStart"/>
      <w:r w:rsidRPr="00817EA6">
        <w:t>cGAP</w:t>
      </w:r>
      <w:proofErr w:type="spellEnd"/>
      <w:r w:rsidRPr="00817EA6">
        <w:t xml:space="preserve"> evaluation in chapter 8.1 of the </w:t>
      </w:r>
      <w:proofErr w:type="spellStart"/>
      <w:r w:rsidRPr="00817EA6">
        <w:t>dRR</w:t>
      </w:r>
      <w:proofErr w:type="spellEnd"/>
      <w:r w:rsidRPr="00817EA6">
        <w:t xml:space="preserve"> Part B, Section 8 (Environmental fate and </w:t>
      </w:r>
      <w:proofErr w:type="spellStart"/>
      <w:r w:rsidRPr="00817EA6">
        <w:t>behaviour</w:t>
      </w:r>
      <w:proofErr w:type="spellEnd"/>
      <w:r w:rsidRPr="00817EA6">
        <w:t>).</w:t>
      </w:r>
    </w:p>
    <w:p w14:paraId="651226E0" w14:textId="77777777" w:rsidR="009F5A83" w:rsidRDefault="009F5A83" w:rsidP="00453127">
      <w:pPr>
        <w:pStyle w:val="RepStandard"/>
      </w:pPr>
    </w:p>
    <w:p w14:paraId="27190D92" w14:textId="77777777" w:rsidR="009F5A83" w:rsidRDefault="009F5A83" w:rsidP="009F5A83">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8"/>
      </w:tblGrid>
      <w:tr w:rsidR="009F5A83" w14:paraId="68C751C7" w14:textId="77777777" w:rsidTr="00296320">
        <w:trPr>
          <w:trHeight w:val="1787"/>
        </w:trPr>
        <w:tc>
          <w:tcPr>
            <w:tcW w:w="5000" w:type="pct"/>
            <w:shd w:val="clear" w:color="auto" w:fill="D9D9D9"/>
          </w:tcPr>
          <w:p w14:paraId="072A6B7D" w14:textId="77777777" w:rsidR="009F5A83" w:rsidRPr="009001F3" w:rsidRDefault="009F5A83" w:rsidP="00296320">
            <w:pPr>
              <w:pStyle w:val="RepStandard"/>
              <w:spacing w:after="120"/>
              <w:rPr>
                <w:b/>
                <w:bCs/>
              </w:rPr>
            </w:pPr>
            <w:r w:rsidRPr="009001F3">
              <w:rPr>
                <w:b/>
                <w:bCs/>
              </w:rPr>
              <w:t>Review Comments:</w:t>
            </w:r>
          </w:p>
          <w:p w14:paraId="7DFBC54D" w14:textId="77777777" w:rsidR="00624E41" w:rsidRDefault="009F5A83" w:rsidP="00296320">
            <w:pPr>
              <w:pStyle w:val="RepTable"/>
              <w:keepNext/>
              <w:keepLines/>
              <w:suppressAutoHyphens/>
              <w:spacing w:after="120"/>
              <w:jc w:val="both"/>
              <w:rPr>
                <w:sz w:val="22"/>
              </w:rPr>
            </w:pPr>
            <w:r w:rsidRPr="009001F3">
              <w:rPr>
                <w:sz w:val="22"/>
              </w:rPr>
              <w:t>The leaching simulation run with FOCUS PELMO, FOCUS PEARL and FOCUS MACRO resulted in PEC</w:t>
            </w:r>
            <w:r w:rsidRPr="009001F3">
              <w:rPr>
                <w:sz w:val="22"/>
                <w:vertAlign w:val="subscript"/>
              </w:rPr>
              <w:t>GW</w:t>
            </w:r>
            <w:r w:rsidRPr="009001F3">
              <w:rPr>
                <w:sz w:val="22"/>
              </w:rPr>
              <w:t xml:space="preserve"> values below 0.1 µg/L for ametoctradin, metabolites M650F01, M650F02 and for M650F03, M650F04 for applications to acidic soil, for all FOCUS scenarios. Under alkaline soil condition, m</w:t>
            </w:r>
            <w:proofErr w:type="spellStart"/>
            <w:r w:rsidRPr="009001F3">
              <w:rPr>
                <w:noProof w:val="0"/>
                <w:sz w:val="22"/>
              </w:rPr>
              <w:t>etabolites</w:t>
            </w:r>
            <w:proofErr w:type="spellEnd"/>
            <w:r w:rsidRPr="009001F3">
              <w:rPr>
                <w:noProof w:val="0"/>
                <w:sz w:val="22"/>
              </w:rPr>
              <w:t xml:space="preserve"> M650F03 and M650F04 exceed the threshold of 0.1 µg/L</w:t>
            </w:r>
            <w:r w:rsidRPr="009001F3">
              <w:rPr>
                <w:sz w:val="22"/>
              </w:rPr>
              <w:t>, but below 10 µg/L for all application uses and all simulated models</w:t>
            </w:r>
          </w:p>
          <w:p w14:paraId="1B1DE5F9" w14:textId="77777777" w:rsidR="00624E41" w:rsidRPr="00443B12" w:rsidRDefault="00624E41" w:rsidP="00624E41">
            <w:pPr>
              <w:pStyle w:val="RepTable"/>
              <w:keepNext/>
              <w:keepLines/>
              <w:suppressAutoHyphens/>
              <w:spacing w:after="120"/>
              <w:jc w:val="both"/>
              <w:rPr>
                <w:noProof w:val="0"/>
                <w:sz w:val="22"/>
              </w:rPr>
            </w:pPr>
            <w:r w:rsidRPr="00443B12">
              <w:rPr>
                <w:noProof w:val="0"/>
                <w:sz w:val="22"/>
              </w:rPr>
              <w:t>The submitted data are accepted.</w:t>
            </w:r>
          </w:p>
          <w:p w14:paraId="016A5EE6" w14:textId="472C35C3" w:rsidR="009F5A83" w:rsidRPr="006B1E4D" w:rsidRDefault="00624E41" w:rsidP="00624E41">
            <w:pPr>
              <w:pStyle w:val="RepTable"/>
              <w:keepNext/>
              <w:keepLines/>
              <w:suppressAutoHyphens/>
              <w:spacing w:after="120"/>
              <w:jc w:val="both"/>
            </w:pPr>
            <w:r w:rsidRPr="00443B12">
              <w:rPr>
                <w:noProof w:val="0"/>
                <w:sz w:val="22"/>
              </w:rPr>
              <w:t xml:space="preserve">The </w:t>
            </w:r>
            <w:proofErr w:type="spellStart"/>
            <w:r w:rsidRPr="00443B12">
              <w:rPr>
                <w:noProof w:val="0"/>
                <w:sz w:val="22"/>
              </w:rPr>
              <w:t>ametoctradin</w:t>
            </w:r>
            <w:proofErr w:type="spellEnd"/>
            <w:r w:rsidRPr="00443B12">
              <w:rPr>
                <w:noProof w:val="0"/>
                <w:sz w:val="22"/>
              </w:rPr>
              <w:t xml:space="preserve"> metabolites M650F03 and M650F04 are non-relevant from the toxicological point of view based on the criteria identified in guidance document on the assessment of groundwater metabolites SANCO/221/2000 –rev.11</w:t>
            </w:r>
            <w:r w:rsidR="009F5A83" w:rsidRPr="009001F3">
              <w:rPr>
                <w:sz w:val="22"/>
              </w:rPr>
              <w:t>.</w:t>
            </w:r>
          </w:p>
        </w:tc>
      </w:tr>
    </w:tbl>
    <w:p w14:paraId="16944B0F" w14:textId="77777777" w:rsidR="00453127" w:rsidRDefault="00453127" w:rsidP="00453127">
      <w:pPr>
        <w:pStyle w:val="RepStandard"/>
      </w:pPr>
    </w:p>
    <w:p w14:paraId="2FA6FE60" w14:textId="77777777" w:rsidR="00093F35" w:rsidRPr="00817EA6" w:rsidRDefault="00093F35" w:rsidP="00453127">
      <w:pPr>
        <w:pStyle w:val="RepStandard"/>
      </w:pPr>
    </w:p>
    <w:p w14:paraId="51BF2846" w14:textId="61BB1717" w:rsidR="00453127" w:rsidRPr="00817EA6" w:rsidRDefault="00453127" w:rsidP="00453127">
      <w:pPr>
        <w:pStyle w:val="RepLabel"/>
      </w:pPr>
      <w:bookmarkStart w:id="30" w:name="_Ref413754898"/>
      <w:bookmarkStart w:id="31" w:name="_Toc412025984"/>
      <w:bookmarkStart w:id="32" w:name="_Ref413754470"/>
      <w:bookmarkStart w:id="33" w:name="_Toc413754713"/>
      <w:bookmarkStart w:id="34" w:name="_Toc413755114"/>
      <w:bookmarkStart w:id="35" w:name="_Toc413755140"/>
      <w:bookmarkStart w:id="36" w:name="_Toc413755165"/>
      <w:bookmarkStart w:id="37" w:name="_Toc413941041"/>
      <w:bookmarkStart w:id="38" w:name="_Toc413943191"/>
      <w:bookmarkStart w:id="39" w:name="_Toc414542740"/>
      <w:bookmarkStart w:id="40" w:name="_Toc414544990"/>
      <w:bookmarkStart w:id="41" w:name="_Toc414545017"/>
      <w:bookmarkStart w:id="42" w:name="_Toc414608125"/>
      <w:bookmarkStart w:id="43" w:name="_Toc415230179"/>
      <w:r w:rsidRPr="00817EA6">
        <w:t>Table </w:t>
      </w:r>
      <w:r w:rsidR="009B666E">
        <w:rPr>
          <w:noProof/>
        </w:rPr>
        <w:fldChar w:fldCharType="begin"/>
      </w:r>
      <w:r w:rsidR="009B666E">
        <w:rPr>
          <w:noProof/>
        </w:rPr>
        <w:instrText xml:space="preserve"> STYLEREF 2 \s </w:instrText>
      </w:r>
      <w:r w:rsidR="009B666E">
        <w:rPr>
          <w:noProof/>
        </w:rPr>
        <w:fldChar w:fldCharType="separate"/>
      </w:r>
      <w:r w:rsidR="00727948">
        <w:rPr>
          <w:noProof/>
        </w:rPr>
        <w:t>10.1</w:t>
      </w:r>
      <w:r w:rsidR="009B666E">
        <w:rPr>
          <w:noProof/>
        </w:rPr>
        <w:fldChar w:fldCharType="end"/>
      </w:r>
      <w:r w:rsidRPr="00817EA6">
        <w:noBreakHyphen/>
      </w:r>
      <w:r w:rsidR="009B666E">
        <w:rPr>
          <w:noProof/>
        </w:rPr>
        <w:fldChar w:fldCharType="begin"/>
      </w:r>
      <w:r w:rsidR="009B666E">
        <w:rPr>
          <w:noProof/>
        </w:rPr>
        <w:instrText xml:space="preserve"> SEQ Table \* ARABIC \s 2 </w:instrText>
      </w:r>
      <w:r w:rsidR="009B666E">
        <w:rPr>
          <w:noProof/>
        </w:rPr>
        <w:fldChar w:fldCharType="separate"/>
      </w:r>
      <w:r w:rsidR="00727948">
        <w:rPr>
          <w:noProof/>
        </w:rPr>
        <w:t>1</w:t>
      </w:r>
      <w:r w:rsidR="009B666E">
        <w:rPr>
          <w:noProof/>
        </w:rPr>
        <w:fldChar w:fldCharType="end"/>
      </w:r>
      <w:bookmarkEnd w:id="30"/>
      <w:r w:rsidRPr="00817EA6">
        <w:t>:</w:t>
      </w:r>
      <w:r w:rsidRPr="00817EA6">
        <w:tab/>
        <w:t>General information on the metabolites</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552"/>
        <w:gridCol w:w="2251"/>
        <w:gridCol w:w="2322"/>
        <w:gridCol w:w="1486"/>
        <w:gridCol w:w="1746"/>
      </w:tblGrid>
      <w:tr w:rsidR="00453127" w:rsidRPr="00817EA6" w14:paraId="6019AF44" w14:textId="77777777" w:rsidTr="009B666E">
        <w:trPr>
          <w:cantSplit/>
          <w:tblHeader/>
        </w:trPr>
        <w:tc>
          <w:tcPr>
            <w:tcW w:w="829" w:type="pct"/>
            <w:tcBorders>
              <w:top w:val="single" w:sz="4" w:space="0" w:color="auto"/>
            </w:tcBorders>
            <w:shd w:val="clear" w:color="auto" w:fill="auto"/>
          </w:tcPr>
          <w:p w14:paraId="2D78F094" w14:textId="77777777" w:rsidR="00453127" w:rsidRPr="00817EA6" w:rsidRDefault="00453127" w:rsidP="009B666E">
            <w:pPr>
              <w:pStyle w:val="RepTableHeader"/>
              <w:keepNext w:val="0"/>
              <w:keepLines w:val="0"/>
              <w:jc w:val="center"/>
              <w:rPr>
                <w:lang w:val="en-GB"/>
              </w:rPr>
            </w:pPr>
            <w:r w:rsidRPr="00817EA6">
              <w:rPr>
                <w:lang w:val="en-GB"/>
              </w:rPr>
              <w:t>Name of active substance</w:t>
            </w:r>
          </w:p>
        </w:tc>
        <w:tc>
          <w:tcPr>
            <w:tcW w:w="1203" w:type="pct"/>
            <w:tcBorders>
              <w:top w:val="single" w:sz="4" w:space="0" w:color="auto"/>
            </w:tcBorders>
            <w:shd w:val="clear" w:color="auto" w:fill="auto"/>
          </w:tcPr>
          <w:p w14:paraId="13B22DDE" w14:textId="77777777" w:rsidR="00453127" w:rsidRPr="00817EA6" w:rsidRDefault="00453127" w:rsidP="009B666E">
            <w:pPr>
              <w:pStyle w:val="RepTableHeader"/>
              <w:keepNext w:val="0"/>
              <w:keepLines w:val="0"/>
              <w:jc w:val="center"/>
              <w:rPr>
                <w:lang w:val="en-GB"/>
              </w:rPr>
            </w:pPr>
            <w:r w:rsidRPr="00817EA6">
              <w:rPr>
                <w:lang w:val="en-GB"/>
              </w:rPr>
              <w:t>Metabolite name and code</w:t>
            </w:r>
          </w:p>
        </w:tc>
        <w:tc>
          <w:tcPr>
            <w:tcW w:w="1241" w:type="pct"/>
            <w:tcBorders>
              <w:top w:val="single" w:sz="4" w:space="0" w:color="auto"/>
            </w:tcBorders>
            <w:shd w:val="clear" w:color="auto" w:fill="auto"/>
          </w:tcPr>
          <w:p w14:paraId="359657CB" w14:textId="77777777" w:rsidR="00453127" w:rsidRPr="00817EA6" w:rsidRDefault="00453127" w:rsidP="009B666E">
            <w:pPr>
              <w:pStyle w:val="RepTableHeader"/>
              <w:keepNext w:val="0"/>
              <w:keepLines w:val="0"/>
              <w:jc w:val="center"/>
              <w:rPr>
                <w:lang w:val="en-GB"/>
              </w:rPr>
            </w:pPr>
            <w:r w:rsidRPr="00817EA6">
              <w:rPr>
                <w:lang w:val="en-GB"/>
              </w:rPr>
              <w:t>Structural/molecular</w:t>
            </w:r>
            <w:r w:rsidRPr="00817EA6">
              <w:rPr>
                <w:lang w:val="en-GB"/>
              </w:rPr>
              <w:br/>
              <w:t>formula</w:t>
            </w:r>
          </w:p>
        </w:tc>
        <w:tc>
          <w:tcPr>
            <w:tcW w:w="1727" w:type="pct"/>
            <w:gridSpan w:val="2"/>
            <w:tcBorders>
              <w:top w:val="single" w:sz="4" w:space="0" w:color="auto"/>
            </w:tcBorders>
            <w:shd w:val="clear" w:color="auto" w:fill="auto"/>
          </w:tcPr>
          <w:p w14:paraId="63B2DEC9" w14:textId="77777777" w:rsidR="00453127" w:rsidRPr="00817EA6" w:rsidRDefault="00453127" w:rsidP="009B666E">
            <w:pPr>
              <w:pStyle w:val="RepTableHeader"/>
              <w:keepNext w:val="0"/>
              <w:keepLines w:val="0"/>
              <w:jc w:val="center"/>
              <w:rPr>
                <w:lang w:val="en-GB"/>
              </w:rPr>
            </w:pPr>
            <w:r w:rsidRPr="00817EA6">
              <w:rPr>
                <w:lang w:val="en-GB"/>
              </w:rPr>
              <w:t xml:space="preserve">Trigger for relevance assessment </w:t>
            </w:r>
          </w:p>
        </w:tc>
      </w:tr>
      <w:tr w:rsidR="00B35E0D" w:rsidRPr="00817EA6" w14:paraId="7588E6AE" w14:textId="77777777" w:rsidTr="00B35E0D">
        <w:trPr>
          <w:cantSplit/>
          <w:trHeight w:val="1674"/>
        </w:trPr>
        <w:tc>
          <w:tcPr>
            <w:tcW w:w="829" w:type="pct"/>
            <w:shd w:val="clear" w:color="auto" w:fill="auto"/>
          </w:tcPr>
          <w:p w14:paraId="5465B345" w14:textId="77777777" w:rsidR="00B35E0D" w:rsidRPr="00817EA6" w:rsidRDefault="00B35E0D" w:rsidP="00B35E0D">
            <w:pPr>
              <w:pStyle w:val="RepTable"/>
            </w:pPr>
            <w:r w:rsidRPr="00817EA6">
              <w:t>Ametoctradin</w:t>
            </w:r>
          </w:p>
          <w:p w14:paraId="5C9B49A9" w14:textId="77777777" w:rsidR="00B35E0D" w:rsidRPr="00817EA6" w:rsidRDefault="00B35E0D" w:rsidP="00B35E0D">
            <w:pPr>
              <w:pStyle w:val="RepTable"/>
            </w:pPr>
          </w:p>
          <w:p w14:paraId="4C65D24D" w14:textId="77777777" w:rsidR="00B35E0D" w:rsidRPr="00817EA6" w:rsidRDefault="00B35E0D" w:rsidP="00B35E0D">
            <w:pPr>
              <w:pStyle w:val="RepTable"/>
              <w:rPr>
                <w:szCs w:val="20"/>
              </w:rPr>
            </w:pPr>
            <w:r w:rsidRPr="00817EA6">
              <w:t>BAS 650 F</w:t>
            </w:r>
          </w:p>
        </w:tc>
        <w:tc>
          <w:tcPr>
            <w:tcW w:w="1203" w:type="pct"/>
            <w:shd w:val="clear" w:color="auto" w:fill="auto"/>
          </w:tcPr>
          <w:p w14:paraId="7941C21D" w14:textId="77777777" w:rsidR="00B35E0D" w:rsidRPr="00817EA6" w:rsidRDefault="00B35E0D" w:rsidP="00B35E0D">
            <w:pPr>
              <w:pStyle w:val="RepTable"/>
              <w:jc w:val="center"/>
              <w:rPr>
                <w:szCs w:val="20"/>
              </w:rPr>
            </w:pPr>
            <w:r w:rsidRPr="00817EA6">
              <w:rPr>
                <w:b/>
              </w:rPr>
              <w:t>M650F03</w:t>
            </w:r>
          </w:p>
        </w:tc>
        <w:tc>
          <w:tcPr>
            <w:tcW w:w="1241" w:type="pct"/>
            <w:shd w:val="clear" w:color="auto" w:fill="auto"/>
          </w:tcPr>
          <w:p w14:paraId="6AC0D32F" w14:textId="77777777" w:rsidR="00B35E0D" w:rsidRPr="00817EA6" w:rsidRDefault="00B35E0D" w:rsidP="00B35E0D">
            <w:pPr>
              <w:pStyle w:val="RepTable"/>
              <w:jc w:val="center"/>
            </w:pPr>
            <w:r w:rsidRPr="00817EA6">
              <w:rPr>
                <w:sz w:val="18"/>
                <w:lang w:val="en-GB" w:eastAsia="en-GB"/>
              </w:rPr>
              <w:drawing>
                <wp:inline distT="0" distB="0" distL="0" distR="0" wp14:anchorId="78A5D562" wp14:editId="0CF819A6">
                  <wp:extent cx="1068019" cy="60010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4327" cy="603654"/>
                          </a:xfrm>
                          <a:prstGeom prst="rect">
                            <a:avLst/>
                          </a:prstGeom>
                          <a:noFill/>
                          <a:ln>
                            <a:noFill/>
                          </a:ln>
                        </pic:spPr>
                      </pic:pic>
                    </a:graphicData>
                  </a:graphic>
                </wp:inline>
              </w:drawing>
            </w:r>
          </w:p>
          <w:p w14:paraId="0272ADA3" w14:textId="77777777" w:rsidR="00B35E0D" w:rsidRPr="00817EA6" w:rsidRDefault="00B35E0D" w:rsidP="00B35E0D">
            <w:pPr>
              <w:pStyle w:val="RepTable"/>
              <w:jc w:val="center"/>
            </w:pPr>
          </w:p>
          <w:p w14:paraId="047BE77D" w14:textId="77777777" w:rsidR="00B35E0D" w:rsidRPr="00817EA6" w:rsidRDefault="00B35E0D" w:rsidP="00B35E0D">
            <w:pPr>
              <w:pStyle w:val="RepTable"/>
              <w:jc w:val="center"/>
              <w:rPr>
                <w:szCs w:val="20"/>
              </w:rPr>
            </w:pPr>
            <w:r w:rsidRPr="00817EA6">
              <w:t>C</w:t>
            </w:r>
            <w:r w:rsidRPr="00817EA6">
              <w:rPr>
                <w:vertAlign w:val="subscript"/>
              </w:rPr>
              <w:t>9</w:t>
            </w:r>
            <w:r w:rsidRPr="00817EA6">
              <w:t>H</w:t>
            </w:r>
            <w:r w:rsidRPr="00817EA6">
              <w:rPr>
                <w:vertAlign w:val="subscript"/>
              </w:rPr>
              <w:t>11</w:t>
            </w:r>
            <w:r w:rsidRPr="00817EA6">
              <w:t>N</w:t>
            </w:r>
            <w:r w:rsidRPr="00817EA6">
              <w:rPr>
                <w:vertAlign w:val="subscript"/>
              </w:rPr>
              <w:t>5</w:t>
            </w:r>
            <w:r w:rsidRPr="00817EA6">
              <w:t>O</w:t>
            </w:r>
            <w:r w:rsidRPr="00817EA6">
              <w:rPr>
                <w:vertAlign w:val="subscript"/>
              </w:rPr>
              <w:t>2</w:t>
            </w:r>
          </w:p>
        </w:tc>
        <w:tc>
          <w:tcPr>
            <w:tcW w:w="794" w:type="pct"/>
            <w:shd w:val="clear" w:color="auto" w:fill="auto"/>
          </w:tcPr>
          <w:p w14:paraId="206C4C67" w14:textId="77777777" w:rsidR="00B35E0D" w:rsidRPr="00817EA6" w:rsidRDefault="00B35E0D" w:rsidP="00B35E0D">
            <w:pPr>
              <w:pStyle w:val="RepTable"/>
              <w:rPr>
                <w:szCs w:val="20"/>
              </w:rPr>
            </w:pPr>
            <w:r w:rsidRPr="00817EA6">
              <w:rPr>
                <w:szCs w:val="20"/>
              </w:rPr>
              <w:t>Max PEC</w:t>
            </w:r>
            <w:r w:rsidRPr="00817EA6">
              <w:rPr>
                <w:szCs w:val="20"/>
                <w:vertAlign w:val="subscript"/>
              </w:rPr>
              <w:t>GW</w:t>
            </w:r>
            <w:r w:rsidRPr="00817EA6">
              <w:rPr>
                <w:szCs w:val="20"/>
              </w:rPr>
              <w:t xml:space="preserve"> </w:t>
            </w:r>
          </w:p>
          <w:p w14:paraId="75BBD968" w14:textId="77777777" w:rsidR="00B35E0D" w:rsidRPr="00817EA6" w:rsidRDefault="00B35E0D" w:rsidP="00B35E0D">
            <w:pPr>
              <w:pStyle w:val="RepTable"/>
              <w:rPr>
                <w:szCs w:val="20"/>
              </w:rPr>
            </w:pPr>
          </w:p>
          <w:p w14:paraId="42905F1C" w14:textId="77777777" w:rsidR="00B35E0D" w:rsidRPr="00817EA6" w:rsidRDefault="00B35E0D" w:rsidP="00B35E0D">
            <w:pPr>
              <w:pStyle w:val="RepTable"/>
              <w:rPr>
                <w:szCs w:val="20"/>
              </w:rPr>
            </w:pPr>
            <w:r w:rsidRPr="00817EA6">
              <w:rPr>
                <w:szCs w:val="20"/>
              </w:rPr>
              <w:t>Based on:</w:t>
            </w:r>
          </w:p>
          <w:p w14:paraId="379D7BD5" w14:textId="77777777" w:rsidR="00B35E0D" w:rsidRPr="00817EA6" w:rsidRDefault="00B35E0D" w:rsidP="00B35E0D">
            <w:pPr>
              <w:pStyle w:val="RepTable"/>
              <w:rPr>
                <w:szCs w:val="20"/>
              </w:rPr>
            </w:pPr>
          </w:p>
        </w:tc>
        <w:tc>
          <w:tcPr>
            <w:tcW w:w="933" w:type="pct"/>
            <w:shd w:val="clear" w:color="auto" w:fill="D9D9D9" w:themeFill="background1" w:themeFillShade="D9"/>
          </w:tcPr>
          <w:p w14:paraId="3DD0CC45" w14:textId="77777777" w:rsidR="00B35E0D" w:rsidRPr="00B35E0D" w:rsidRDefault="00B35E0D" w:rsidP="00B35E0D">
            <w:pPr>
              <w:pStyle w:val="RepTable"/>
              <w:shd w:val="clear" w:color="auto" w:fill="D9D9D9" w:themeFill="background1" w:themeFillShade="D9"/>
              <w:rPr>
                <w:szCs w:val="20"/>
              </w:rPr>
            </w:pPr>
            <w:r w:rsidRPr="00B35E0D">
              <w:rPr>
                <w:strike/>
                <w:color w:val="808080" w:themeColor="background1" w:themeShade="80"/>
              </w:rPr>
              <w:t>4.493</w:t>
            </w:r>
            <w:r w:rsidRPr="00B35E0D">
              <w:rPr>
                <w:color w:val="808080" w:themeColor="background1" w:themeShade="80"/>
              </w:rPr>
              <w:t xml:space="preserve"> </w:t>
            </w:r>
            <w:r w:rsidRPr="00B35E0D">
              <w:rPr>
                <w:color w:val="000000"/>
                <w:szCs w:val="20"/>
                <w:shd w:val="clear" w:color="auto" w:fill="D9D9D9" w:themeFill="background1" w:themeFillShade="D9"/>
              </w:rPr>
              <w:t>4.307</w:t>
            </w:r>
            <w:r w:rsidRPr="00B35E0D">
              <w:rPr>
                <w:color w:val="000000"/>
                <w:szCs w:val="20"/>
              </w:rPr>
              <w:t xml:space="preserve"> </w:t>
            </w:r>
            <w:r w:rsidRPr="00B35E0D">
              <w:t>µg/L</w:t>
            </w:r>
          </w:p>
          <w:p w14:paraId="0E3952FA" w14:textId="77777777" w:rsidR="00B35E0D" w:rsidRPr="00B35E0D" w:rsidRDefault="00B35E0D" w:rsidP="00B35E0D">
            <w:pPr>
              <w:pStyle w:val="RepTable"/>
              <w:rPr>
                <w:szCs w:val="20"/>
              </w:rPr>
            </w:pPr>
          </w:p>
          <w:p w14:paraId="3B242AC0" w14:textId="4831077A" w:rsidR="00B35E0D" w:rsidRPr="00B35E0D" w:rsidRDefault="00B35E0D" w:rsidP="00B35E0D">
            <w:pPr>
              <w:pStyle w:val="RepTable"/>
              <w:rPr>
                <w:szCs w:val="20"/>
              </w:rPr>
            </w:pPr>
            <w:r w:rsidRPr="00B35E0D">
              <w:rPr>
                <w:noProof w:val="0"/>
              </w:rPr>
              <w:t xml:space="preserve">Modelling results using PEARL 5.5.5 </w:t>
            </w:r>
            <w:r w:rsidRPr="00B35E0D">
              <w:rPr>
                <w:strike/>
                <w:noProof w:val="0"/>
                <w:color w:val="808080" w:themeColor="background1" w:themeShade="80"/>
              </w:rPr>
              <w:t xml:space="preserve">/ </w:t>
            </w:r>
            <w:r w:rsidRPr="00B35E0D">
              <w:rPr>
                <w:strike/>
                <w:color w:val="808080" w:themeColor="background1" w:themeShade="80"/>
                <w:szCs w:val="20"/>
              </w:rPr>
              <w:t>salad crops, BBCH 10-19, 1×240 g a.s./ha, every year</w:t>
            </w:r>
            <w:r w:rsidRPr="00B35E0D">
              <w:rPr>
                <w:strike/>
                <w:noProof w:val="0"/>
                <w:color w:val="808080" w:themeColor="background1" w:themeShade="80"/>
              </w:rPr>
              <w:t xml:space="preserve"> </w:t>
            </w:r>
            <w:r w:rsidRPr="00B35E0D">
              <w:rPr>
                <w:noProof w:val="0"/>
              </w:rPr>
              <w:t>/</w:t>
            </w:r>
            <w:r w:rsidRPr="00B35E0D">
              <w:rPr>
                <w:noProof w:val="0"/>
                <w:shd w:val="clear" w:color="auto" w:fill="D9D9D9" w:themeFill="background1" w:themeFillShade="D9"/>
              </w:rPr>
              <w:t xml:space="preserve">onion (BBCH 49) 2 x 240 g </w:t>
            </w:r>
            <w:proofErr w:type="spellStart"/>
            <w:r w:rsidRPr="00B35E0D">
              <w:rPr>
                <w:noProof w:val="0"/>
                <w:shd w:val="clear" w:color="auto" w:fill="D9D9D9" w:themeFill="background1" w:themeFillShade="D9"/>
              </w:rPr>
              <w:t>a.s.</w:t>
            </w:r>
            <w:proofErr w:type="spellEnd"/>
            <w:r w:rsidRPr="00B35E0D">
              <w:rPr>
                <w:noProof w:val="0"/>
                <w:shd w:val="clear" w:color="auto" w:fill="D9D9D9" w:themeFill="background1" w:themeFillShade="D9"/>
              </w:rPr>
              <w:t xml:space="preserve">/ha </w:t>
            </w:r>
            <w:r w:rsidRPr="00B35E0D">
              <w:rPr>
                <w:szCs w:val="20"/>
                <w:shd w:val="clear" w:color="auto" w:fill="D9D9D9" w:themeFill="background1" w:themeFillShade="D9"/>
              </w:rPr>
              <w:t>(5-d intervals), every 2</w:t>
            </w:r>
            <w:r w:rsidRPr="00B35E0D">
              <w:rPr>
                <w:szCs w:val="20"/>
                <w:shd w:val="clear" w:color="auto" w:fill="D9D9D9" w:themeFill="background1" w:themeFillShade="D9"/>
                <w:vertAlign w:val="superscript"/>
              </w:rPr>
              <w:t>nd</w:t>
            </w:r>
            <w:r w:rsidRPr="00B35E0D">
              <w:rPr>
                <w:szCs w:val="20"/>
                <w:shd w:val="clear" w:color="auto" w:fill="D9D9D9" w:themeFill="background1" w:themeFillShade="D9"/>
              </w:rPr>
              <w:t xml:space="preserve"> year;</w:t>
            </w:r>
            <w:r w:rsidRPr="00B35E0D">
              <w:rPr>
                <w:noProof w:val="0"/>
                <w:shd w:val="clear" w:color="auto" w:fill="D9D9D9" w:themeFill="background1" w:themeFillShade="D9"/>
              </w:rPr>
              <w:t xml:space="preserve"> </w:t>
            </w:r>
            <w:r w:rsidRPr="00B35E0D">
              <w:rPr>
                <w:noProof w:val="0"/>
                <w:szCs w:val="20"/>
                <w:shd w:val="clear" w:color="auto" w:fill="D9D9D9" w:themeFill="background1" w:themeFillShade="D9"/>
              </w:rPr>
              <w:t>Hamburg</w:t>
            </w:r>
            <w:r w:rsidRPr="00B35E0D">
              <w:rPr>
                <w:noProof w:val="0"/>
                <w:shd w:val="clear" w:color="auto" w:fill="D9D9D9" w:themeFill="background1" w:themeFillShade="D9"/>
              </w:rPr>
              <w:t xml:space="preserve"> scenario</w:t>
            </w:r>
          </w:p>
        </w:tc>
      </w:tr>
      <w:tr w:rsidR="00453127" w:rsidRPr="00817EA6" w14:paraId="183BE502" w14:textId="77777777" w:rsidTr="00102415">
        <w:trPr>
          <w:cantSplit/>
          <w:trHeight w:val="2091"/>
        </w:trPr>
        <w:tc>
          <w:tcPr>
            <w:tcW w:w="829" w:type="pct"/>
            <w:shd w:val="clear" w:color="auto" w:fill="auto"/>
          </w:tcPr>
          <w:p w14:paraId="2006A6BC" w14:textId="77777777" w:rsidR="00453127" w:rsidRPr="00817EA6" w:rsidRDefault="00453127" w:rsidP="009B666E">
            <w:pPr>
              <w:pStyle w:val="RepTable"/>
              <w:rPr>
                <w:szCs w:val="20"/>
              </w:rPr>
            </w:pPr>
            <w:r w:rsidRPr="00817EA6">
              <w:rPr>
                <w:szCs w:val="20"/>
              </w:rPr>
              <w:lastRenderedPageBreak/>
              <w:t>Ametoctradin</w:t>
            </w:r>
          </w:p>
          <w:p w14:paraId="3A374826" w14:textId="77777777" w:rsidR="00453127" w:rsidRPr="00817EA6" w:rsidRDefault="00453127" w:rsidP="009B666E">
            <w:pPr>
              <w:pStyle w:val="RepTable"/>
              <w:rPr>
                <w:szCs w:val="20"/>
              </w:rPr>
            </w:pPr>
          </w:p>
          <w:p w14:paraId="75D7A913" w14:textId="77777777" w:rsidR="00453127" w:rsidRPr="00817EA6" w:rsidRDefault="00453127" w:rsidP="009B666E">
            <w:pPr>
              <w:pStyle w:val="RepTable"/>
              <w:rPr>
                <w:szCs w:val="20"/>
              </w:rPr>
            </w:pPr>
            <w:r w:rsidRPr="00817EA6">
              <w:rPr>
                <w:szCs w:val="20"/>
              </w:rPr>
              <w:t>BAS 650 F</w:t>
            </w:r>
          </w:p>
        </w:tc>
        <w:tc>
          <w:tcPr>
            <w:tcW w:w="1203" w:type="pct"/>
            <w:shd w:val="clear" w:color="auto" w:fill="auto"/>
          </w:tcPr>
          <w:p w14:paraId="6D7E44D9" w14:textId="77777777" w:rsidR="00453127" w:rsidRPr="00817EA6" w:rsidRDefault="00453127" w:rsidP="009B666E">
            <w:pPr>
              <w:pStyle w:val="RepTable"/>
              <w:jc w:val="center"/>
              <w:rPr>
                <w:b/>
                <w:szCs w:val="20"/>
              </w:rPr>
            </w:pPr>
            <w:r w:rsidRPr="00817EA6">
              <w:rPr>
                <w:b/>
                <w:szCs w:val="20"/>
              </w:rPr>
              <w:t>M650F04</w:t>
            </w:r>
          </w:p>
        </w:tc>
        <w:tc>
          <w:tcPr>
            <w:tcW w:w="1241" w:type="pct"/>
            <w:shd w:val="clear" w:color="auto" w:fill="auto"/>
          </w:tcPr>
          <w:p w14:paraId="202417EB" w14:textId="77777777" w:rsidR="00453127" w:rsidRPr="00817EA6" w:rsidRDefault="00453127" w:rsidP="009B666E">
            <w:pPr>
              <w:pStyle w:val="RepTable"/>
              <w:jc w:val="center"/>
              <w:rPr>
                <w:szCs w:val="20"/>
              </w:rPr>
            </w:pPr>
            <w:r w:rsidRPr="00817EA6">
              <w:rPr>
                <w:szCs w:val="20"/>
                <w:lang w:val="en-GB" w:eastAsia="en-GB"/>
              </w:rPr>
              <w:drawing>
                <wp:inline distT="0" distB="0" distL="0" distR="0" wp14:anchorId="24FCB153" wp14:editId="0D2B8397">
                  <wp:extent cx="984547" cy="636423"/>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1678" cy="641033"/>
                          </a:xfrm>
                          <a:prstGeom prst="rect">
                            <a:avLst/>
                          </a:prstGeom>
                          <a:noFill/>
                          <a:ln>
                            <a:noFill/>
                          </a:ln>
                        </pic:spPr>
                      </pic:pic>
                    </a:graphicData>
                  </a:graphic>
                </wp:inline>
              </w:drawing>
            </w:r>
          </w:p>
          <w:p w14:paraId="23B6592E" w14:textId="77777777" w:rsidR="00453127" w:rsidRPr="00817EA6" w:rsidRDefault="00453127" w:rsidP="009B666E">
            <w:pPr>
              <w:pStyle w:val="RepTable"/>
              <w:rPr>
                <w:szCs w:val="20"/>
              </w:rPr>
            </w:pPr>
          </w:p>
          <w:p w14:paraId="25880624" w14:textId="77777777" w:rsidR="00453127" w:rsidRPr="00817EA6" w:rsidRDefault="00453127" w:rsidP="009B666E">
            <w:pPr>
              <w:pStyle w:val="RepTable"/>
              <w:jc w:val="center"/>
              <w:rPr>
                <w:szCs w:val="20"/>
              </w:rPr>
            </w:pPr>
            <w:r w:rsidRPr="00817EA6">
              <w:rPr>
                <w:szCs w:val="20"/>
              </w:rPr>
              <w:t>C</w:t>
            </w:r>
            <w:r w:rsidRPr="00817EA6">
              <w:rPr>
                <w:szCs w:val="20"/>
                <w:vertAlign w:val="subscript"/>
              </w:rPr>
              <w:t>8</w:t>
            </w:r>
            <w:r w:rsidRPr="00817EA6">
              <w:rPr>
                <w:szCs w:val="20"/>
              </w:rPr>
              <w:t>H</w:t>
            </w:r>
            <w:r w:rsidRPr="00817EA6">
              <w:rPr>
                <w:szCs w:val="20"/>
                <w:vertAlign w:val="subscript"/>
              </w:rPr>
              <w:t>9</w:t>
            </w:r>
            <w:r w:rsidRPr="00817EA6">
              <w:rPr>
                <w:szCs w:val="20"/>
              </w:rPr>
              <w:t>N</w:t>
            </w:r>
            <w:r w:rsidRPr="00817EA6">
              <w:rPr>
                <w:szCs w:val="20"/>
                <w:vertAlign w:val="subscript"/>
              </w:rPr>
              <w:t>5</w:t>
            </w:r>
            <w:r w:rsidRPr="00817EA6">
              <w:rPr>
                <w:szCs w:val="20"/>
              </w:rPr>
              <w:t>O</w:t>
            </w:r>
            <w:r w:rsidRPr="00817EA6">
              <w:rPr>
                <w:szCs w:val="20"/>
                <w:vertAlign w:val="subscript"/>
              </w:rPr>
              <w:t>2</w:t>
            </w:r>
          </w:p>
        </w:tc>
        <w:tc>
          <w:tcPr>
            <w:tcW w:w="794" w:type="pct"/>
            <w:shd w:val="clear" w:color="auto" w:fill="auto"/>
          </w:tcPr>
          <w:p w14:paraId="6E60510B" w14:textId="77777777" w:rsidR="00453127" w:rsidRPr="00817EA6" w:rsidRDefault="00453127" w:rsidP="009B666E">
            <w:pPr>
              <w:pStyle w:val="RepTable"/>
              <w:rPr>
                <w:szCs w:val="20"/>
              </w:rPr>
            </w:pPr>
            <w:r w:rsidRPr="00817EA6">
              <w:rPr>
                <w:szCs w:val="20"/>
              </w:rPr>
              <w:t>Max PEC</w:t>
            </w:r>
            <w:r w:rsidRPr="00817EA6">
              <w:rPr>
                <w:szCs w:val="20"/>
                <w:vertAlign w:val="subscript"/>
              </w:rPr>
              <w:t>GW</w:t>
            </w:r>
            <w:r w:rsidRPr="00817EA6">
              <w:rPr>
                <w:szCs w:val="20"/>
              </w:rPr>
              <w:t xml:space="preserve"> </w:t>
            </w:r>
          </w:p>
          <w:p w14:paraId="0011F528" w14:textId="77777777" w:rsidR="00453127" w:rsidRPr="00817EA6" w:rsidRDefault="00453127" w:rsidP="009B666E">
            <w:pPr>
              <w:pStyle w:val="RepTable"/>
              <w:rPr>
                <w:szCs w:val="20"/>
              </w:rPr>
            </w:pPr>
          </w:p>
          <w:p w14:paraId="4BF6B135" w14:textId="77777777" w:rsidR="00453127" w:rsidRPr="00817EA6" w:rsidRDefault="00453127" w:rsidP="009B666E">
            <w:pPr>
              <w:pStyle w:val="RepTable"/>
              <w:rPr>
                <w:szCs w:val="20"/>
              </w:rPr>
            </w:pPr>
            <w:r w:rsidRPr="00817EA6">
              <w:rPr>
                <w:szCs w:val="20"/>
              </w:rPr>
              <w:t>Based on:</w:t>
            </w:r>
          </w:p>
          <w:p w14:paraId="51F92881" w14:textId="77777777" w:rsidR="00453127" w:rsidRPr="00817EA6" w:rsidRDefault="00453127" w:rsidP="009B666E">
            <w:pPr>
              <w:pStyle w:val="RepTable"/>
              <w:rPr>
                <w:szCs w:val="20"/>
              </w:rPr>
            </w:pPr>
          </w:p>
        </w:tc>
        <w:tc>
          <w:tcPr>
            <w:tcW w:w="933" w:type="pct"/>
            <w:shd w:val="clear" w:color="auto" w:fill="auto"/>
          </w:tcPr>
          <w:p w14:paraId="5E93B3B4" w14:textId="128EE05D" w:rsidR="00453127" w:rsidRPr="00817EA6" w:rsidRDefault="00102415" w:rsidP="009B666E">
            <w:pPr>
              <w:pStyle w:val="RepTable"/>
              <w:rPr>
                <w:szCs w:val="20"/>
              </w:rPr>
            </w:pPr>
            <w:r w:rsidRPr="00817EA6">
              <w:rPr>
                <w:szCs w:val="20"/>
              </w:rPr>
              <w:t>8.650</w:t>
            </w:r>
            <w:r w:rsidR="00453127" w:rsidRPr="00817EA6">
              <w:rPr>
                <w:szCs w:val="20"/>
              </w:rPr>
              <w:t xml:space="preserve"> µg/L</w:t>
            </w:r>
          </w:p>
          <w:p w14:paraId="6361EE3C" w14:textId="77777777" w:rsidR="00453127" w:rsidRPr="00817EA6" w:rsidRDefault="00453127" w:rsidP="009B666E">
            <w:pPr>
              <w:pStyle w:val="RepTable"/>
              <w:rPr>
                <w:szCs w:val="20"/>
              </w:rPr>
            </w:pPr>
          </w:p>
          <w:p w14:paraId="3EFD5893" w14:textId="47CAF691" w:rsidR="00453127" w:rsidRPr="00817EA6" w:rsidRDefault="00453127" w:rsidP="009B666E">
            <w:pPr>
              <w:pStyle w:val="RepTable"/>
              <w:rPr>
                <w:szCs w:val="20"/>
              </w:rPr>
            </w:pPr>
            <w:r w:rsidRPr="00817EA6">
              <w:rPr>
                <w:noProof w:val="0"/>
              </w:rPr>
              <w:t xml:space="preserve">Modelling results using </w:t>
            </w:r>
            <w:r w:rsidR="00102415" w:rsidRPr="00817EA6">
              <w:rPr>
                <w:noProof w:val="0"/>
              </w:rPr>
              <w:t xml:space="preserve">PEARL 5.5.5 / </w:t>
            </w:r>
            <w:r w:rsidR="00102415" w:rsidRPr="00817EA6">
              <w:rPr>
                <w:szCs w:val="20"/>
              </w:rPr>
              <w:t>onion, BBCH 14, 2×240 g a.s./ha (5-d intervals), every 2</w:t>
            </w:r>
            <w:r w:rsidR="00102415" w:rsidRPr="00817EA6">
              <w:rPr>
                <w:szCs w:val="20"/>
                <w:vertAlign w:val="superscript"/>
              </w:rPr>
              <w:t>nd</w:t>
            </w:r>
            <w:r w:rsidR="00102415" w:rsidRPr="00817EA6">
              <w:rPr>
                <w:szCs w:val="20"/>
              </w:rPr>
              <w:t xml:space="preserve"> year</w:t>
            </w:r>
            <w:r w:rsidR="00102415" w:rsidRPr="00817EA6">
              <w:rPr>
                <w:noProof w:val="0"/>
              </w:rPr>
              <w:t xml:space="preserve"> / </w:t>
            </w:r>
            <w:r w:rsidR="00102415" w:rsidRPr="00817EA6">
              <w:rPr>
                <w:noProof w:val="0"/>
                <w:szCs w:val="20"/>
              </w:rPr>
              <w:t>Hamburg</w:t>
            </w:r>
            <w:r w:rsidR="00102415" w:rsidRPr="00817EA6">
              <w:rPr>
                <w:noProof w:val="0"/>
              </w:rPr>
              <w:t xml:space="preserve"> scenario</w:t>
            </w:r>
          </w:p>
        </w:tc>
      </w:tr>
    </w:tbl>
    <w:p w14:paraId="142A8D75" w14:textId="77777777" w:rsidR="00624E41" w:rsidRDefault="00624E41" w:rsidP="009B666E">
      <w:pPr>
        <w:pStyle w:val="RepTable"/>
        <w:tabs>
          <w:tab w:val="left" w:pos="1609"/>
          <w:tab w:val="left" w:pos="3860"/>
          <w:tab w:val="left" w:pos="6182"/>
          <w:tab w:val="left" w:pos="7668"/>
        </w:tabs>
        <w:ind w:left="57"/>
        <w:rPr>
          <w:szCs w:val="20"/>
        </w:rPr>
      </w:pPr>
    </w:p>
    <w:p w14:paraId="7D2046EE" w14:textId="0888C0DA" w:rsidR="00504C0B" w:rsidRPr="00817EA6" w:rsidRDefault="00504C0B" w:rsidP="00D728CA">
      <w:pPr>
        <w:pStyle w:val="Nagwek2"/>
      </w:pPr>
      <w:bookmarkStart w:id="44" w:name="_Toc181622171"/>
      <w:r w:rsidRPr="00817EA6">
        <w:t xml:space="preserve">Relevance assessment of </w:t>
      </w:r>
      <w:bookmarkEnd w:id="31"/>
      <w:bookmarkEnd w:id="32"/>
      <w:bookmarkEnd w:id="33"/>
      <w:bookmarkEnd w:id="34"/>
      <w:bookmarkEnd w:id="35"/>
      <w:bookmarkEnd w:id="36"/>
      <w:bookmarkEnd w:id="37"/>
      <w:bookmarkEnd w:id="38"/>
      <w:bookmarkEnd w:id="39"/>
      <w:bookmarkEnd w:id="40"/>
      <w:bookmarkEnd w:id="41"/>
      <w:bookmarkEnd w:id="42"/>
      <w:bookmarkEnd w:id="43"/>
      <w:r w:rsidR="00453127" w:rsidRPr="00817EA6">
        <w:t>M650F03</w:t>
      </w:r>
      <w:bookmarkEnd w:id="44"/>
    </w:p>
    <w:p w14:paraId="6C6BAC90" w14:textId="77777777" w:rsidR="00504C0B" w:rsidRPr="00817EA6" w:rsidRDefault="00504C0B" w:rsidP="00A06CF4">
      <w:pPr>
        <w:pStyle w:val="RepNewPart"/>
      </w:pPr>
      <w:r w:rsidRPr="00817EA6">
        <w:t>Summary:</w:t>
      </w:r>
    </w:p>
    <w:p w14:paraId="2051A7B9" w14:textId="61BE9C1D" w:rsidR="00453127" w:rsidRPr="00817EA6" w:rsidRDefault="00453127" w:rsidP="00453127">
      <w:pPr>
        <w:pStyle w:val="RepStandard"/>
      </w:pPr>
      <w:r w:rsidRPr="00817EA6">
        <w:t>The relevance of the groundwater metabolite M650F03 has already been assessed and the assessment agreed at EU level (see DAR of October 2011</w:t>
      </w:r>
      <w:r w:rsidRPr="00817EA6">
        <w:rPr>
          <w:rStyle w:val="Odwoanieprzypisudolnego"/>
        </w:rPr>
        <w:footnoteReference w:id="2"/>
      </w:r>
      <w:r w:rsidRPr="00817EA6">
        <w:t xml:space="preserve"> and EFSA conclusion 2012</w:t>
      </w:r>
      <w:r w:rsidRPr="00817EA6">
        <w:rPr>
          <w:vertAlign w:val="superscript"/>
        </w:rPr>
        <w:footnoteReference w:id="3"/>
      </w:r>
      <w:r w:rsidRPr="00817EA6">
        <w:t xml:space="preserve">), and the relevance assessment is applicable as well for the GAP and groundwater scenarios considered in this </w:t>
      </w:r>
      <w:proofErr w:type="spellStart"/>
      <w:r w:rsidRPr="00817EA6">
        <w:t>dRR</w:t>
      </w:r>
      <w:proofErr w:type="spellEnd"/>
      <w:r w:rsidRPr="00817EA6">
        <w:t xml:space="preserve"> (</w:t>
      </w:r>
      <w:r w:rsidRPr="00817EA6">
        <w:rPr>
          <w:i/>
          <w:iCs/>
        </w:rPr>
        <w:t>i.e.,</w:t>
      </w:r>
      <w:r w:rsidRPr="00817EA6">
        <w:t xml:space="preserve"> the conclusions reached at Step 4 and 5 of the relevance assessment made at the EU-level are valid also with regard to the PEC</w:t>
      </w:r>
      <w:r w:rsidRPr="00817EA6">
        <w:rPr>
          <w:vertAlign w:val="subscript"/>
        </w:rPr>
        <w:t>GW</w:t>
      </w:r>
      <w:r w:rsidRPr="00817EA6">
        <w:t xml:space="preserve"> calculated for the GAP and groundwater scenarios considered in this </w:t>
      </w:r>
      <w:proofErr w:type="spellStart"/>
      <w:r w:rsidRPr="00817EA6">
        <w:t>dRR</w:t>
      </w:r>
      <w:proofErr w:type="spellEnd"/>
      <w:r w:rsidRPr="00817EA6">
        <w:t>). M650F03 is not considered relevant according to the criteria laid down in the EC guidance</w:t>
      </w:r>
      <w:r w:rsidR="008B070F">
        <w:t xml:space="preserve"> document SANCO/221/2000 –rev.11</w:t>
      </w:r>
      <w:r w:rsidRPr="00817EA6">
        <w:t xml:space="preserve">. A summary of the relevance assessment is given in </w:t>
      </w:r>
      <w:r w:rsidRPr="00817EA6">
        <w:fldChar w:fldCharType="begin"/>
      </w:r>
      <w:r w:rsidRPr="00817EA6">
        <w:instrText xml:space="preserve"> REF _Ref413754706 \h </w:instrText>
      </w:r>
      <w:r w:rsidR="00817EA6">
        <w:instrText xml:space="preserve"> \* MERGEFORMAT </w:instrText>
      </w:r>
      <w:r w:rsidRPr="00817EA6">
        <w:fldChar w:fldCharType="separate"/>
      </w:r>
      <w:r w:rsidR="00727948" w:rsidRPr="00817EA6">
        <w:t>Table </w:t>
      </w:r>
      <w:r w:rsidR="00727948">
        <w:t>10.2</w:t>
      </w:r>
      <w:r w:rsidR="00727948" w:rsidRPr="00817EA6">
        <w:noBreakHyphen/>
      </w:r>
      <w:r w:rsidR="00727948">
        <w:t>1</w:t>
      </w:r>
      <w:r w:rsidRPr="00817EA6">
        <w:fldChar w:fldCharType="end"/>
      </w:r>
      <w:r w:rsidRPr="00817EA6">
        <w:t xml:space="preserve"> and the corresponding studies are listed in the corresponding sections. </w:t>
      </w:r>
    </w:p>
    <w:p w14:paraId="0ABB6EE0" w14:textId="77777777" w:rsidR="00324AB8" w:rsidRPr="00817EA6" w:rsidRDefault="00324AB8" w:rsidP="00324AB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13"/>
        <w:gridCol w:w="1095"/>
        <w:gridCol w:w="1374"/>
        <w:gridCol w:w="2839"/>
        <w:gridCol w:w="2837"/>
      </w:tblGrid>
      <w:tr w:rsidR="00453127" w:rsidRPr="00817EA6" w14:paraId="3C66CA1E" w14:textId="77777777" w:rsidTr="009B666E">
        <w:trPr>
          <w:tblHeader/>
        </w:trPr>
        <w:tc>
          <w:tcPr>
            <w:tcW w:w="5000" w:type="pct"/>
            <w:gridSpan w:val="5"/>
            <w:tcBorders>
              <w:top w:val="nil"/>
              <w:left w:val="nil"/>
              <w:bottom w:val="single" w:sz="4" w:space="0" w:color="auto"/>
              <w:right w:val="nil"/>
            </w:tcBorders>
            <w:shd w:val="clear" w:color="auto" w:fill="auto"/>
          </w:tcPr>
          <w:p w14:paraId="65E279C8" w14:textId="5DC77FD8" w:rsidR="00453127" w:rsidRPr="00817EA6" w:rsidRDefault="00453127" w:rsidP="009B666E">
            <w:pPr>
              <w:pStyle w:val="RepLabel"/>
            </w:pPr>
            <w:bookmarkStart w:id="45" w:name="_Ref413754706"/>
            <w:bookmarkStart w:id="46" w:name="_Toc412025985"/>
            <w:bookmarkStart w:id="47" w:name="_Toc413754714"/>
            <w:bookmarkStart w:id="48" w:name="_Toc413755115"/>
            <w:bookmarkStart w:id="49" w:name="_Toc413755141"/>
            <w:bookmarkStart w:id="50" w:name="_Toc413755166"/>
            <w:bookmarkStart w:id="51" w:name="_Toc413941042"/>
            <w:bookmarkStart w:id="52" w:name="_Toc413943192"/>
            <w:bookmarkStart w:id="53" w:name="_Toc414542741"/>
            <w:bookmarkStart w:id="54" w:name="_Toc414544991"/>
            <w:bookmarkStart w:id="55" w:name="_Toc414545018"/>
            <w:bookmarkStart w:id="56" w:name="_Toc414608126"/>
            <w:bookmarkStart w:id="57" w:name="_Toc415230180"/>
            <w:r w:rsidRPr="00817EA6">
              <w:t>Table </w:t>
            </w:r>
            <w:r w:rsidR="009B666E">
              <w:rPr>
                <w:noProof/>
              </w:rPr>
              <w:fldChar w:fldCharType="begin"/>
            </w:r>
            <w:r w:rsidR="009B666E">
              <w:rPr>
                <w:noProof/>
              </w:rPr>
              <w:instrText xml:space="preserve"> STYLEREF 2 \s </w:instrText>
            </w:r>
            <w:r w:rsidR="009B666E">
              <w:rPr>
                <w:noProof/>
              </w:rPr>
              <w:fldChar w:fldCharType="separate"/>
            </w:r>
            <w:r w:rsidR="00727948">
              <w:rPr>
                <w:noProof/>
              </w:rPr>
              <w:t>10.2</w:t>
            </w:r>
            <w:r w:rsidR="009B666E">
              <w:rPr>
                <w:noProof/>
              </w:rPr>
              <w:fldChar w:fldCharType="end"/>
            </w:r>
            <w:r w:rsidRPr="00817EA6">
              <w:noBreakHyphen/>
            </w:r>
            <w:r w:rsidR="009B666E">
              <w:rPr>
                <w:noProof/>
              </w:rPr>
              <w:fldChar w:fldCharType="begin"/>
            </w:r>
            <w:r w:rsidR="009B666E">
              <w:rPr>
                <w:noProof/>
              </w:rPr>
              <w:instrText xml:space="preserve"> SEQ Table \* ARABIC \s 2 </w:instrText>
            </w:r>
            <w:r w:rsidR="009B666E">
              <w:rPr>
                <w:noProof/>
              </w:rPr>
              <w:fldChar w:fldCharType="separate"/>
            </w:r>
            <w:r w:rsidR="00727948">
              <w:rPr>
                <w:noProof/>
              </w:rPr>
              <w:t>1</w:t>
            </w:r>
            <w:r w:rsidR="009B666E">
              <w:rPr>
                <w:noProof/>
              </w:rPr>
              <w:fldChar w:fldCharType="end"/>
            </w:r>
            <w:bookmarkEnd w:id="45"/>
            <w:r w:rsidRPr="00817EA6">
              <w:t>:</w:t>
            </w:r>
            <w:r w:rsidRPr="00817EA6">
              <w:tab/>
              <w:t>Summary of the relevance assessment for M650F03</w:t>
            </w:r>
          </w:p>
        </w:tc>
      </w:tr>
      <w:tr w:rsidR="00453127" w:rsidRPr="00817EA6" w14:paraId="49DEB84C" w14:textId="77777777" w:rsidTr="00CB360D">
        <w:tc>
          <w:tcPr>
            <w:tcW w:w="648" w:type="pct"/>
            <w:shd w:val="clear" w:color="auto" w:fill="auto"/>
            <w:vAlign w:val="center"/>
          </w:tcPr>
          <w:p w14:paraId="4E64C048" w14:textId="77777777" w:rsidR="00453127" w:rsidRPr="00817EA6" w:rsidRDefault="00453127" w:rsidP="009B666E">
            <w:pPr>
              <w:jc w:val="center"/>
              <w:rPr>
                <w:lang w:val="en-GB"/>
              </w:rPr>
            </w:pPr>
          </w:p>
        </w:tc>
        <w:tc>
          <w:tcPr>
            <w:tcW w:w="1319" w:type="pct"/>
            <w:gridSpan w:val="2"/>
            <w:shd w:val="clear" w:color="auto" w:fill="auto"/>
            <w:vAlign w:val="center"/>
          </w:tcPr>
          <w:p w14:paraId="0A316CC4" w14:textId="77777777" w:rsidR="00453127" w:rsidRPr="00817EA6" w:rsidRDefault="00453127" w:rsidP="009B666E">
            <w:pPr>
              <w:pStyle w:val="RepTable"/>
            </w:pPr>
            <w:r w:rsidRPr="00817EA6">
              <w:rPr>
                <w:b/>
                <w:noProof w:val="0"/>
              </w:rPr>
              <w:t>Assessment step</w:t>
            </w:r>
          </w:p>
        </w:tc>
        <w:tc>
          <w:tcPr>
            <w:tcW w:w="3033" w:type="pct"/>
            <w:gridSpan w:val="2"/>
            <w:shd w:val="clear" w:color="auto" w:fill="auto"/>
            <w:vAlign w:val="center"/>
          </w:tcPr>
          <w:p w14:paraId="2526502E" w14:textId="77777777" w:rsidR="00453127" w:rsidRPr="00817EA6" w:rsidRDefault="00453127" w:rsidP="009B666E">
            <w:pPr>
              <w:pStyle w:val="RepTable"/>
            </w:pPr>
            <w:r w:rsidRPr="00817EA6">
              <w:rPr>
                <w:b/>
                <w:noProof w:val="0"/>
              </w:rPr>
              <w:t xml:space="preserve">Result of assessment </w:t>
            </w:r>
          </w:p>
        </w:tc>
      </w:tr>
      <w:tr w:rsidR="00453127" w:rsidRPr="00817EA6" w14:paraId="14AB0180" w14:textId="77777777" w:rsidTr="00CB360D">
        <w:tc>
          <w:tcPr>
            <w:tcW w:w="648" w:type="pct"/>
            <w:shd w:val="clear" w:color="auto" w:fill="auto"/>
          </w:tcPr>
          <w:p w14:paraId="00510F4F" w14:textId="77777777" w:rsidR="00453127" w:rsidRPr="00817EA6" w:rsidRDefault="00453127" w:rsidP="009B666E">
            <w:pPr>
              <w:rPr>
                <w:lang w:val="en-GB"/>
              </w:rPr>
            </w:pPr>
          </w:p>
        </w:tc>
        <w:tc>
          <w:tcPr>
            <w:tcW w:w="1319" w:type="pct"/>
            <w:gridSpan w:val="2"/>
            <w:shd w:val="clear" w:color="auto" w:fill="auto"/>
          </w:tcPr>
          <w:p w14:paraId="40C4F90E" w14:textId="77777777" w:rsidR="00453127" w:rsidRPr="00817EA6" w:rsidRDefault="00453127" w:rsidP="009B666E">
            <w:pPr>
              <w:pStyle w:val="RepTable"/>
            </w:pPr>
            <w:r w:rsidRPr="00817EA6">
              <w:rPr>
                <w:noProof w:val="0"/>
              </w:rPr>
              <w:t xml:space="preserve">STEP 1 </w:t>
            </w:r>
          </w:p>
        </w:tc>
        <w:tc>
          <w:tcPr>
            <w:tcW w:w="1517" w:type="pct"/>
            <w:shd w:val="clear" w:color="auto" w:fill="auto"/>
          </w:tcPr>
          <w:p w14:paraId="5F936022" w14:textId="77777777" w:rsidR="00453127" w:rsidRPr="00817EA6" w:rsidRDefault="00453127" w:rsidP="009B666E">
            <w:pPr>
              <w:pStyle w:val="RepTable"/>
            </w:pPr>
            <w:r w:rsidRPr="00817EA6">
              <w:rPr>
                <w:noProof w:val="0"/>
              </w:rPr>
              <w:t>Metabolite of no concern?</w:t>
            </w:r>
          </w:p>
        </w:tc>
        <w:tc>
          <w:tcPr>
            <w:tcW w:w="1516" w:type="pct"/>
            <w:shd w:val="clear" w:color="auto" w:fill="auto"/>
          </w:tcPr>
          <w:p w14:paraId="33DBDC9B" w14:textId="77777777" w:rsidR="00453127" w:rsidRPr="00817EA6" w:rsidRDefault="00453127" w:rsidP="009B666E">
            <w:pPr>
              <w:pStyle w:val="RepTable"/>
            </w:pPr>
            <w:r w:rsidRPr="00817EA6">
              <w:rPr>
                <w:noProof w:val="0"/>
              </w:rPr>
              <w:t>no</w:t>
            </w:r>
          </w:p>
        </w:tc>
      </w:tr>
      <w:tr w:rsidR="009F5A83" w:rsidRPr="00817EA6" w14:paraId="272A7EC2" w14:textId="77777777" w:rsidTr="009F5A83">
        <w:tc>
          <w:tcPr>
            <w:tcW w:w="648" w:type="pct"/>
            <w:vMerge w:val="restart"/>
            <w:shd w:val="clear" w:color="auto" w:fill="auto"/>
            <w:textDirection w:val="btLr"/>
            <w:vAlign w:val="center"/>
          </w:tcPr>
          <w:p w14:paraId="7F654125" w14:textId="77777777" w:rsidR="009F5A83" w:rsidRPr="00817EA6" w:rsidRDefault="009F5A83" w:rsidP="009F5A83">
            <w:pPr>
              <w:pStyle w:val="RepTable"/>
              <w:jc w:val="center"/>
            </w:pPr>
            <w:r w:rsidRPr="00817EA6">
              <w:rPr>
                <w:b/>
                <w:noProof w:val="0"/>
              </w:rPr>
              <w:t>Quantification of groundwater contamination</w:t>
            </w:r>
          </w:p>
        </w:tc>
        <w:tc>
          <w:tcPr>
            <w:tcW w:w="1319" w:type="pct"/>
            <w:gridSpan w:val="2"/>
            <w:vMerge w:val="restart"/>
            <w:shd w:val="clear" w:color="auto" w:fill="auto"/>
          </w:tcPr>
          <w:p w14:paraId="6A812ABD" w14:textId="77777777" w:rsidR="009F5A83" w:rsidRPr="00817EA6" w:rsidRDefault="009F5A83" w:rsidP="009F5A83">
            <w:pPr>
              <w:pStyle w:val="RepTable"/>
            </w:pPr>
            <w:r w:rsidRPr="00817EA6">
              <w:rPr>
                <w:noProof w:val="0"/>
              </w:rPr>
              <w:t>STEP 2</w:t>
            </w:r>
          </w:p>
          <w:p w14:paraId="78519010" w14:textId="77777777" w:rsidR="009F5A83" w:rsidRPr="00817EA6" w:rsidRDefault="009F5A83" w:rsidP="009F5A83">
            <w:pPr>
              <w:rPr>
                <w:lang w:val="en-GB"/>
              </w:rPr>
            </w:pPr>
          </w:p>
        </w:tc>
        <w:tc>
          <w:tcPr>
            <w:tcW w:w="1517" w:type="pct"/>
            <w:shd w:val="clear" w:color="auto" w:fill="auto"/>
          </w:tcPr>
          <w:p w14:paraId="6C10BC3B" w14:textId="77777777" w:rsidR="009F5A83" w:rsidRPr="00817EA6" w:rsidRDefault="009F5A83" w:rsidP="009F5A83">
            <w:pPr>
              <w:pStyle w:val="RepTable"/>
            </w:pPr>
            <w:r w:rsidRPr="00817EA6">
              <w:rPr>
                <w:noProof w:val="0"/>
              </w:rPr>
              <w:t>Max PEC</w:t>
            </w:r>
            <w:r w:rsidRPr="00817EA6">
              <w:rPr>
                <w:noProof w:val="0"/>
                <w:vertAlign w:val="subscript"/>
              </w:rPr>
              <w:t xml:space="preserve">GW </w:t>
            </w:r>
          </w:p>
        </w:tc>
        <w:tc>
          <w:tcPr>
            <w:tcW w:w="1516" w:type="pct"/>
            <w:shd w:val="clear" w:color="auto" w:fill="D9D9D9" w:themeFill="background1" w:themeFillShade="D9"/>
          </w:tcPr>
          <w:p w14:paraId="59121E8A" w14:textId="265B13C1" w:rsidR="009F5A83" w:rsidRPr="009F5A83" w:rsidRDefault="009F5A83" w:rsidP="009F5A83">
            <w:pPr>
              <w:pStyle w:val="RepTable"/>
              <w:keepNext/>
              <w:keepLines/>
            </w:pPr>
            <w:r w:rsidRPr="009F5A83">
              <w:rPr>
                <w:strike/>
                <w:color w:val="808080" w:themeColor="background1" w:themeShade="80"/>
              </w:rPr>
              <w:t>4.493</w:t>
            </w:r>
            <w:r w:rsidRPr="009F5A83">
              <w:rPr>
                <w:color w:val="808080" w:themeColor="background1" w:themeShade="80"/>
              </w:rPr>
              <w:t xml:space="preserve"> </w:t>
            </w:r>
            <w:r w:rsidRPr="009F5A83">
              <w:rPr>
                <w:color w:val="000000"/>
                <w:szCs w:val="20"/>
                <w:shd w:val="clear" w:color="auto" w:fill="D9D9D9" w:themeFill="background1" w:themeFillShade="D9"/>
              </w:rPr>
              <w:t>4.307</w:t>
            </w:r>
            <w:r w:rsidRPr="009F5A83">
              <w:rPr>
                <w:color w:val="000000"/>
                <w:szCs w:val="20"/>
              </w:rPr>
              <w:t xml:space="preserve"> </w:t>
            </w:r>
            <w:r w:rsidRPr="009F5A83">
              <w:t>µg/L</w:t>
            </w:r>
          </w:p>
        </w:tc>
      </w:tr>
      <w:tr w:rsidR="00B35E0D" w:rsidRPr="00817EA6" w14:paraId="1A1F2BA5" w14:textId="77777777" w:rsidTr="009F5A83">
        <w:tc>
          <w:tcPr>
            <w:tcW w:w="648" w:type="pct"/>
            <w:vMerge/>
            <w:shd w:val="clear" w:color="auto" w:fill="auto"/>
            <w:vAlign w:val="center"/>
          </w:tcPr>
          <w:p w14:paraId="244D9E29" w14:textId="77777777" w:rsidR="00B35E0D" w:rsidRPr="00817EA6" w:rsidRDefault="00B35E0D" w:rsidP="00B35E0D">
            <w:pPr>
              <w:keepNext/>
              <w:jc w:val="center"/>
              <w:rPr>
                <w:lang w:val="en-GB"/>
              </w:rPr>
            </w:pPr>
          </w:p>
        </w:tc>
        <w:tc>
          <w:tcPr>
            <w:tcW w:w="1319" w:type="pct"/>
            <w:gridSpan w:val="2"/>
            <w:vMerge/>
            <w:shd w:val="clear" w:color="auto" w:fill="auto"/>
          </w:tcPr>
          <w:p w14:paraId="50B961E3" w14:textId="77777777" w:rsidR="00B35E0D" w:rsidRPr="00817EA6" w:rsidRDefault="00B35E0D" w:rsidP="00B35E0D">
            <w:pPr>
              <w:rPr>
                <w:lang w:val="en-GB"/>
              </w:rPr>
            </w:pPr>
          </w:p>
        </w:tc>
        <w:tc>
          <w:tcPr>
            <w:tcW w:w="1517" w:type="pct"/>
            <w:shd w:val="clear" w:color="auto" w:fill="auto"/>
          </w:tcPr>
          <w:p w14:paraId="72ED16E1" w14:textId="77777777" w:rsidR="00B35E0D" w:rsidRPr="00817EA6" w:rsidRDefault="00B35E0D" w:rsidP="00B35E0D">
            <w:pPr>
              <w:pStyle w:val="RepTable"/>
            </w:pPr>
            <w:r w:rsidRPr="00817EA6">
              <w:rPr>
                <w:noProof w:val="0"/>
              </w:rPr>
              <w:t xml:space="preserve">Based on </w:t>
            </w:r>
          </w:p>
        </w:tc>
        <w:tc>
          <w:tcPr>
            <w:tcW w:w="1516" w:type="pct"/>
            <w:shd w:val="clear" w:color="auto" w:fill="D9D9D9" w:themeFill="background1" w:themeFillShade="D9"/>
          </w:tcPr>
          <w:p w14:paraId="0C93B8A4" w14:textId="085835AA" w:rsidR="00B35E0D" w:rsidRPr="00B35E0D" w:rsidRDefault="00B35E0D" w:rsidP="00B35E0D">
            <w:pPr>
              <w:pStyle w:val="RepTable"/>
            </w:pPr>
            <w:r w:rsidRPr="00B35E0D">
              <w:rPr>
                <w:noProof w:val="0"/>
              </w:rPr>
              <w:t xml:space="preserve">PEARL 5.5.5 </w:t>
            </w:r>
            <w:r w:rsidRPr="00B35E0D">
              <w:rPr>
                <w:strike/>
                <w:noProof w:val="0"/>
                <w:color w:val="808080" w:themeColor="background1" w:themeShade="80"/>
              </w:rPr>
              <w:t xml:space="preserve">/ </w:t>
            </w:r>
            <w:r w:rsidRPr="00B35E0D">
              <w:rPr>
                <w:strike/>
                <w:color w:val="808080" w:themeColor="background1" w:themeShade="80"/>
                <w:szCs w:val="20"/>
              </w:rPr>
              <w:t>salad crops, BBCH 10-19, 1×240 g a.s./ha, every year</w:t>
            </w:r>
            <w:r w:rsidRPr="00B35E0D">
              <w:rPr>
                <w:strike/>
                <w:noProof w:val="0"/>
                <w:color w:val="808080" w:themeColor="background1" w:themeShade="80"/>
              </w:rPr>
              <w:t xml:space="preserve"> </w:t>
            </w:r>
            <w:r w:rsidRPr="00B35E0D">
              <w:rPr>
                <w:noProof w:val="0"/>
              </w:rPr>
              <w:t>/</w:t>
            </w:r>
            <w:r w:rsidRPr="00B35E0D">
              <w:rPr>
                <w:noProof w:val="0"/>
                <w:shd w:val="clear" w:color="auto" w:fill="D9D9D9" w:themeFill="background1" w:themeFillShade="D9"/>
              </w:rPr>
              <w:t xml:space="preserve">onion (BBCH 49) 2 x 240 g </w:t>
            </w:r>
            <w:proofErr w:type="spellStart"/>
            <w:r w:rsidRPr="00B35E0D">
              <w:rPr>
                <w:noProof w:val="0"/>
                <w:shd w:val="clear" w:color="auto" w:fill="D9D9D9" w:themeFill="background1" w:themeFillShade="D9"/>
              </w:rPr>
              <w:t>a.s.</w:t>
            </w:r>
            <w:proofErr w:type="spellEnd"/>
            <w:r w:rsidRPr="00B35E0D">
              <w:rPr>
                <w:noProof w:val="0"/>
                <w:shd w:val="clear" w:color="auto" w:fill="D9D9D9" w:themeFill="background1" w:themeFillShade="D9"/>
              </w:rPr>
              <w:t xml:space="preserve">/ha </w:t>
            </w:r>
            <w:r w:rsidRPr="00B35E0D">
              <w:rPr>
                <w:szCs w:val="20"/>
              </w:rPr>
              <w:t>(5-d intervals), every 2</w:t>
            </w:r>
            <w:r w:rsidRPr="00B35E0D">
              <w:rPr>
                <w:szCs w:val="20"/>
                <w:vertAlign w:val="superscript"/>
              </w:rPr>
              <w:t>nd</w:t>
            </w:r>
            <w:r w:rsidRPr="00B35E0D">
              <w:rPr>
                <w:szCs w:val="20"/>
              </w:rPr>
              <w:t xml:space="preserve"> year;</w:t>
            </w:r>
            <w:r w:rsidRPr="00B35E0D">
              <w:rPr>
                <w:noProof w:val="0"/>
                <w:shd w:val="clear" w:color="auto" w:fill="D9D9D9" w:themeFill="background1" w:themeFillShade="D9"/>
              </w:rPr>
              <w:t xml:space="preserve"> </w:t>
            </w:r>
            <w:r w:rsidRPr="00B35E0D">
              <w:rPr>
                <w:noProof w:val="0"/>
                <w:szCs w:val="20"/>
                <w:shd w:val="clear" w:color="auto" w:fill="D9D9D9" w:themeFill="background1" w:themeFillShade="D9"/>
              </w:rPr>
              <w:t>Hamburg</w:t>
            </w:r>
            <w:r w:rsidRPr="00B35E0D">
              <w:rPr>
                <w:noProof w:val="0"/>
                <w:shd w:val="clear" w:color="auto" w:fill="D9D9D9" w:themeFill="background1" w:themeFillShade="D9"/>
              </w:rPr>
              <w:t xml:space="preserve"> scenario</w:t>
            </w:r>
          </w:p>
        </w:tc>
      </w:tr>
      <w:tr w:rsidR="00453127" w:rsidRPr="00817EA6" w14:paraId="11FC8A91" w14:textId="77777777" w:rsidTr="00CB360D">
        <w:tc>
          <w:tcPr>
            <w:tcW w:w="648" w:type="pct"/>
            <w:vMerge w:val="restart"/>
            <w:shd w:val="clear" w:color="auto" w:fill="auto"/>
            <w:textDirection w:val="btLr"/>
            <w:vAlign w:val="center"/>
          </w:tcPr>
          <w:p w14:paraId="38DA1808" w14:textId="77777777" w:rsidR="00453127" w:rsidRPr="00817EA6" w:rsidRDefault="00453127" w:rsidP="009B666E">
            <w:pPr>
              <w:pStyle w:val="RepTable"/>
              <w:jc w:val="center"/>
            </w:pPr>
            <w:r w:rsidRPr="00817EA6">
              <w:rPr>
                <w:b/>
                <w:noProof w:val="0"/>
              </w:rPr>
              <w:t>Hazard assessment</w:t>
            </w:r>
          </w:p>
        </w:tc>
        <w:tc>
          <w:tcPr>
            <w:tcW w:w="585" w:type="pct"/>
            <w:vMerge w:val="restart"/>
            <w:shd w:val="clear" w:color="auto" w:fill="auto"/>
          </w:tcPr>
          <w:p w14:paraId="21D8C280" w14:textId="77777777" w:rsidR="00453127" w:rsidRPr="00817EA6" w:rsidRDefault="00453127" w:rsidP="009B666E">
            <w:pPr>
              <w:pStyle w:val="RepTable"/>
            </w:pPr>
            <w:r w:rsidRPr="00817EA6">
              <w:rPr>
                <w:noProof w:val="0"/>
              </w:rPr>
              <w:t>STEP 3</w:t>
            </w:r>
          </w:p>
        </w:tc>
        <w:tc>
          <w:tcPr>
            <w:tcW w:w="734" w:type="pct"/>
            <w:shd w:val="clear" w:color="auto" w:fill="auto"/>
          </w:tcPr>
          <w:p w14:paraId="13AA68F1" w14:textId="77777777" w:rsidR="00453127" w:rsidRPr="00817EA6" w:rsidRDefault="00453127" w:rsidP="009B666E">
            <w:pPr>
              <w:pStyle w:val="RepTable"/>
            </w:pPr>
            <w:r w:rsidRPr="00817EA6">
              <w:rPr>
                <w:noProof w:val="0"/>
              </w:rPr>
              <w:t>Stage 1</w:t>
            </w:r>
          </w:p>
        </w:tc>
        <w:tc>
          <w:tcPr>
            <w:tcW w:w="1517" w:type="pct"/>
            <w:shd w:val="clear" w:color="auto" w:fill="auto"/>
          </w:tcPr>
          <w:p w14:paraId="0B88A11F" w14:textId="77777777" w:rsidR="00453127" w:rsidRPr="00817EA6" w:rsidRDefault="00453127" w:rsidP="009B666E">
            <w:pPr>
              <w:pStyle w:val="RepTable"/>
            </w:pPr>
            <w:r w:rsidRPr="00817EA6">
              <w:rPr>
                <w:noProof w:val="0"/>
              </w:rPr>
              <w:t>Biological activity comparable to the parent?</w:t>
            </w:r>
          </w:p>
        </w:tc>
        <w:tc>
          <w:tcPr>
            <w:tcW w:w="1516" w:type="pct"/>
            <w:shd w:val="clear" w:color="auto" w:fill="auto"/>
          </w:tcPr>
          <w:p w14:paraId="1399E540" w14:textId="77777777" w:rsidR="00453127" w:rsidRPr="00817EA6" w:rsidRDefault="00453127" w:rsidP="009B666E">
            <w:pPr>
              <w:pStyle w:val="RepTable"/>
            </w:pPr>
            <w:r w:rsidRPr="00817EA6">
              <w:rPr>
                <w:noProof w:val="0"/>
              </w:rPr>
              <w:t>no</w:t>
            </w:r>
          </w:p>
        </w:tc>
      </w:tr>
      <w:tr w:rsidR="00453127" w:rsidRPr="00817EA6" w14:paraId="43B0DBFE" w14:textId="77777777" w:rsidTr="00CB360D">
        <w:tc>
          <w:tcPr>
            <w:tcW w:w="648" w:type="pct"/>
            <w:vMerge/>
            <w:shd w:val="clear" w:color="auto" w:fill="auto"/>
            <w:vAlign w:val="center"/>
          </w:tcPr>
          <w:p w14:paraId="205C86A3" w14:textId="77777777" w:rsidR="00453127" w:rsidRPr="00817EA6" w:rsidRDefault="00453127" w:rsidP="009B666E">
            <w:pPr>
              <w:keepNext/>
              <w:jc w:val="center"/>
              <w:rPr>
                <w:lang w:val="en-GB"/>
              </w:rPr>
            </w:pPr>
          </w:p>
        </w:tc>
        <w:tc>
          <w:tcPr>
            <w:tcW w:w="585" w:type="pct"/>
            <w:vMerge/>
            <w:shd w:val="clear" w:color="auto" w:fill="auto"/>
          </w:tcPr>
          <w:p w14:paraId="18A5EA44" w14:textId="77777777" w:rsidR="00453127" w:rsidRPr="00817EA6" w:rsidRDefault="00453127" w:rsidP="009B666E">
            <w:pPr>
              <w:rPr>
                <w:lang w:val="en-GB"/>
              </w:rPr>
            </w:pPr>
          </w:p>
        </w:tc>
        <w:tc>
          <w:tcPr>
            <w:tcW w:w="734" w:type="pct"/>
            <w:shd w:val="clear" w:color="auto" w:fill="auto"/>
          </w:tcPr>
          <w:p w14:paraId="3018FE62" w14:textId="77777777" w:rsidR="00453127" w:rsidRPr="00817EA6" w:rsidRDefault="00453127" w:rsidP="009B666E">
            <w:pPr>
              <w:pStyle w:val="RepTable"/>
            </w:pPr>
            <w:r w:rsidRPr="00817EA6">
              <w:rPr>
                <w:noProof w:val="0"/>
              </w:rPr>
              <w:t>Stage 2</w:t>
            </w:r>
          </w:p>
        </w:tc>
        <w:tc>
          <w:tcPr>
            <w:tcW w:w="1517" w:type="pct"/>
            <w:shd w:val="clear" w:color="auto" w:fill="auto"/>
          </w:tcPr>
          <w:p w14:paraId="49E3BA9C" w14:textId="77777777" w:rsidR="00453127" w:rsidRPr="00817EA6" w:rsidRDefault="00453127" w:rsidP="009B666E">
            <w:pPr>
              <w:pStyle w:val="RepTable"/>
            </w:pPr>
            <w:r w:rsidRPr="00817EA6">
              <w:rPr>
                <w:noProof w:val="0"/>
              </w:rPr>
              <w:t>Genotoxic properties of metabolite</w:t>
            </w:r>
          </w:p>
        </w:tc>
        <w:tc>
          <w:tcPr>
            <w:tcW w:w="1516" w:type="pct"/>
            <w:shd w:val="clear" w:color="auto" w:fill="auto"/>
          </w:tcPr>
          <w:p w14:paraId="407AD7AD" w14:textId="77777777" w:rsidR="00453127" w:rsidRPr="00817EA6" w:rsidRDefault="00453127" w:rsidP="009B666E">
            <w:pPr>
              <w:pStyle w:val="RepTable"/>
            </w:pPr>
            <w:r w:rsidRPr="00817EA6">
              <w:t>non-genotoxic</w:t>
            </w:r>
          </w:p>
        </w:tc>
      </w:tr>
      <w:tr w:rsidR="00453127" w:rsidRPr="00817EA6" w14:paraId="790B56E5" w14:textId="77777777" w:rsidTr="00CB360D">
        <w:tc>
          <w:tcPr>
            <w:tcW w:w="648" w:type="pct"/>
            <w:vMerge/>
            <w:shd w:val="clear" w:color="auto" w:fill="auto"/>
            <w:vAlign w:val="center"/>
          </w:tcPr>
          <w:p w14:paraId="72F4786F" w14:textId="77777777" w:rsidR="00453127" w:rsidRPr="00817EA6" w:rsidRDefault="00453127" w:rsidP="009B666E">
            <w:pPr>
              <w:keepNext/>
              <w:jc w:val="center"/>
              <w:rPr>
                <w:lang w:val="en-GB"/>
              </w:rPr>
            </w:pPr>
          </w:p>
        </w:tc>
        <w:tc>
          <w:tcPr>
            <w:tcW w:w="585" w:type="pct"/>
            <w:vMerge/>
            <w:shd w:val="clear" w:color="auto" w:fill="auto"/>
          </w:tcPr>
          <w:p w14:paraId="27BD405F" w14:textId="77777777" w:rsidR="00453127" w:rsidRPr="00817EA6" w:rsidRDefault="00453127" w:rsidP="009B666E">
            <w:pPr>
              <w:rPr>
                <w:lang w:val="en-GB"/>
              </w:rPr>
            </w:pPr>
          </w:p>
        </w:tc>
        <w:tc>
          <w:tcPr>
            <w:tcW w:w="734" w:type="pct"/>
            <w:vMerge w:val="restart"/>
            <w:shd w:val="clear" w:color="auto" w:fill="auto"/>
          </w:tcPr>
          <w:p w14:paraId="225B54B4" w14:textId="77777777" w:rsidR="00453127" w:rsidRPr="00817EA6" w:rsidRDefault="00453127" w:rsidP="009B666E">
            <w:pPr>
              <w:pStyle w:val="RepTable"/>
            </w:pPr>
            <w:r w:rsidRPr="00817EA6">
              <w:rPr>
                <w:noProof w:val="0"/>
              </w:rPr>
              <w:t>Stage 3</w:t>
            </w:r>
          </w:p>
        </w:tc>
        <w:tc>
          <w:tcPr>
            <w:tcW w:w="1517" w:type="pct"/>
            <w:shd w:val="clear" w:color="auto" w:fill="auto"/>
          </w:tcPr>
          <w:p w14:paraId="24CD4F37" w14:textId="77777777" w:rsidR="00453127" w:rsidRPr="00817EA6" w:rsidRDefault="00453127" w:rsidP="009B666E">
            <w:pPr>
              <w:pStyle w:val="RepTable"/>
            </w:pPr>
            <w:r w:rsidRPr="00817EA6">
              <w:rPr>
                <w:noProof w:val="0"/>
              </w:rPr>
              <w:t>Toxic properties of metabolite</w:t>
            </w:r>
          </w:p>
        </w:tc>
        <w:tc>
          <w:tcPr>
            <w:tcW w:w="1516" w:type="pct"/>
            <w:shd w:val="clear" w:color="auto" w:fill="auto"/>
          </w:tcPr>
          <w:p w14:paraId="7364B1F1" w14:textId="77777777" w:rsidR="00453127" w:rsidRPr="00817EA6" w:rsidRDefault="00453127" w:rsidP="009B666E">
            <w:pPr>
              <w:pStyle w:val="RepTable"/>
            </w:pPr>
          </w:p>
        </w:tc>
      </w:tr>
      <w:tr w:rsidR="00453127" w:rsidRPr="00817EA6" w14:paraId="35E4B958" w14:textId="77777777" w:rsidTr="00CB360D">
        <w:tc>
          <w:tcPr>
            <w:tcW w:w="648" w:type="pct"/>
            <w:vMerge/>
            <w:shd w:val="clear" w:color="auto" w:fill="auto"/>
            <w:vAlign w:val="center"/>
          </w:tcPr>
          <w:p w14:paraId="43118235" w14:textId="77777777" w:rsidR="00453127" w:rsidRPr="00817EA6" w:rsidRDefault="00453127" w:rsidP="009B666E">
            <w:pPr>
              <w:keepNext/>
              <w:jc w:val="center"/>
              <w:rPr>
                <w:lang w:val="en-GB"/>
              </w:rPr>
            </w:pPr>
          </w:p>
        </w:tc>
        <w:tc>
          <w:tcPr>
            <w:tcW w:w="585" w:type="pct"/>
            <w:vMerge/>
            <w:shd w:val="clear" w:color="auto" w:fill="auto"/>
          </w:tcPr>
          <w:p w14:paraId="11BCFE34" w14:textId="77777777" w:rsidR="00453127" w:rsidRPr="00817EA6" w:rsidRDefault="00453127" w:rsidP="009B666E">
            <w:pPr>
              <w:keepNext/>
              <w:rPr>
                <w:lang w:val="en-GB"/>
              </w:rPr>
            </w:pPr>
          </w:p>
        </w:tc>
        <w:tc>
          <w:tcPr>
            <w:tcW w:w="734" w:type="pct"/>
            <w:vMerge/>
            <w:shd w:val="clear" w:color="auto" w:fill="auto"/>
          </w:tcPr>
          <w:p w14:paraId="1A70C74B" w14:textId="77777777" w:rsidR="00453127" w:rsidRPr="00817EA6" w:rsidRDefault="00453127" w:rsidP="009B666E">
            <w:pPr>
              <w:rPr>
                <w:lang w:val="en-GB"/>
              </w:rPr>
            </w:pPr>
          </w:p>
        </w:tc>
        <w:tc>
          <w:tcPr>
            <w:tcW w:w="1517" w:type="pct"/>
            <w:shd w:val="clear" w:color="auto" w:fill="auto"/>
          </w:tcPr>
          <w:p w14:paraId="739A36C6" w14:textId="77777777" w:rsidR="00453127" w:rsidRPr="00817EA6" w:rsidRDefault="00453127" w:rsidP="009B666E">
            <w:pPr>
              <w:pStyle w:val="RepTable"/>
            </w:pPr>
            <w:r w:rsidRPr="00817EA6">
              <w:rPr>
                <w:noProof w:val="0"/>
              </w:rPr>
              <w:t xml:space="preserve">Classification of parent </w:t>
            </w:r>
          </w:p>
        </w:tc>
        <w:tc>
          <w:tcPr>
            <w:tcW w:w="1516" w:type="pct"/>
            <w:shd w:val="clear" w:color="auto" w:fill="auto"/>
          </w:tcPr>
          <w:p w14:paraId="7E344269" w14:textId="77777777" w:rsidR="00453127" w:rsidRPr="00817EA6" w:rsidRDefault="00453127" w:rsidP="009B666E">
            <w:pPr>
              <w:pStyle w:val="RepTable"/>
            </w:pPr>
            <w:r w:rsidRPr="00817EA6">
              <w:rPr>
                <w:noProof w:val="0"/>
              </w:rPr>
              <w:t>not classified as acutely or chronically toxic; not classified as reprotoxic; not classified as carcinogen</w:t>
            </w:r>
          </w:p>
        </w:tc>
      </w:tr>
      <w:tr w:rsidR="00453127" w:rsidRPr="00817EA6" w14:paraId="6F327005" w14:textId="77777777" w:rsidTr="00CB360D">
        <w:tc>
          <w:tcPr>
            <w:tcW w:w="648" w:type="pct"/>
            <w:vMerge/>
            <w:shd w:val="clear" w:color="auto" w:fill="auto"/>
            <w:vAlign w:val="center"/>
          </w:tcPr>
          <w:p w14:paraId="22A740E8" w14:textId="77777777" w:rsidR="00453127" w:rsidRPr="00817EA6" w:rsidRDefault="00453127" w:rsidP="009B666E">
            <w:pPr>
              <w:keepNext/>
              <w:jc w:val="center"/>
              <w:rPr>
                <w:lang w:val="en-GB"/>
              </w:rPr>
            </w:pPr>
          </w:p>
        </w:tc>
        <w:tc>
          <w:tcPr>
            <w:tcW w:w="585" w:type="pct"/>
            <w:vMerge/>
            <w:shd w:val="clear" w:color="auto" w:fill="auto"/>
          </w:tcPr>
          <w:p w14:paraId="0571D941" w14:textId="77777777" w:rsidR="00453127" w:rsidRPr="00817EA6" w:rsidRDefault="00453127" w:rsidP="009B666E">
            <w:pPr>
              <w:keepNext/>
              <w:jc w:val="right"/>
              <w:rPr>
                <w:lang w:val="en-GB"/>
              </w:rPr>
            </w:pPr>
          </w:p>
        </w:tc>
        <w:tc>
          <w:tcPr>
            <w:tcW w:w="734" w:type="pct"/>
            <w:vMerge/>
            <w:shd w:val="clear" w:color="auto" w:fill="auto"/>
          </w:tcPr>
          <w:p w14:paraId="7BA84556" w14:textId="77777777" w:rsidR="00453127" w:rsidRPr="00817EA6" w:rsidRDefault="00453127" w:rsidP="009B666E">
            <w:pPr>
              <w:rPr>
                <w:lang w:val="en-GB"/>
              </w:rPr>
            </w:pPr>
          </w:p>
        </w:tc>
        <w:tc>
          <w:tcPr>
            <w:tcW w:w="1517" w:type="pct"/>
            <w:shd w:val="clear" w:color="auto" w:fill="auto"/>
          </w:tcPr>
          <w:p w14:paraId="0178F353" w14:textId="77777777" w:rsidR="00453127" w:rsidRPr="00817EA6" w:rsidRDefault="00453127" w:rsidP="009B666E">
            <w:pPr>
              <w:pStyle w:val="RepTable"/>
            </w:pPr>
            <w:r w:rsidRPr="00817EA6">
              <w:rPr>
                <w:noProof w:val="0"/>
              </w:rPr>
              <w:t>Classification of metabolite</w:t>
            </w:r>
          </w:p>
        </w:tc>
        <w:tc>
          <w:tcPr>
            <w:tcW w:w="1516" w:type="pct"/>
            <w:shd w:val="clear" w:color="auto" w:fill="auto"/>
          </w:tcPr>
          <w:p w14:paraId="181B6D07" w14:textId="77777777" w:rsidR="00453127" w:rsidRPr="00817EA6" w:rsidRDefault="00453127" w:rsidP="009B666E">
            <w:pPr>
              <w:pStyle w:val="RepTable"/>
            </w:pPr>
            <w:r w:rsidRPr="00817EA6">
              <w:rPr>
                <w:noProof w:val="0"/>
              </w:rPr>
              <w:t>not classified as acutely or chronically toxic; not classified as reprotoxic; not classified as carcinogen</w:t>
            </w:r>
          </w:p>
        </w:tc>
      </w:tr>
      <w:tr w:rsidR="00453127" w:rsidRPr="00817EA6" w14:paraId="0E0A4C40" w14:textId="77777777" w:rsidTr="00CB360D">
        <w:trPr>
          <w:trHeight w:val="879"/>
        </w:trPr>
        <w:tc>
          <w:tcPr>
            <w:tcW w:w="648" w:type="pct"/>
            <w:vMerge w:val="restart"/>
            <w:shd w:val="clear" w:color="auto" w:fill="auto"/>
            <w:textDirection w:val="btLr"/>
            <w:vAlign w:val="center"/>
          </w:tcPr>
          <w:p w14:paraId="7D006A49" w14:textId="77777777" w:rsidR="00453127" w:rsidRPr="00817EA6" w:rsidRDefault="00453127" w:rsidP="009B666E">
            <w:pPr>
              <w:pStyle w:val="RepTable"/>
              <w:jc w:val="center"/>
            </w:pPr>
            <w:r w:rsidRPr="00817EA6">
              <w:rPr>
                <w:b/>
                <w:noProof w:val="0"/>
              </w:rPr>
              <w:t>Consumer health risk assessment</w:t>
            </w:r>
          </w:p>
        </w:tc>
        <w:tc>
          <w:tcPr>
            <w:tcW w:w="1319" w:type="pct"/>
            <w:gridSpan w:val="2"/>
            <w:shd w:val="clear" w:color="auto" w:fill="auto"/>
          </w:tcPr>
          <w:p w14:paraId="13FA5B7F" w14:textId="77777777" w:rsidR="00453127" w:rsidRPr="00817EA6" w:rsidRDefault="00453127" w:rsidP="009B666E">
            <w:pPr>
              <w:pStyle w:val="RepTable"/>
            </w:pPr>
            <w:r w:rsidRPr="00817EA6">
              <w:rPr>
                <w:noProof w:val="0"/>
              </w:rPr>
              <w:t>STEP 4</w:t>
            </w:r>
          </w:p>
        </w:tc>
        <w:tc>
          <w:tcPr>
            <w:tcW w:w="1517" w:type="pct"/>
            <w:shd w:val="clear" w:color="auto" w:fill="auto"/>
          </w:tcPr>
          <w:p w14:paraId="0694DD0C" w14:textId="77777777" w:rsidR="00453127" w:rsidRPr="00817EA6" w:rsidRDefault="00453127" w:rsidP="009B666E">
            <w:pPr>
              <w:pStyle w:val="RepTable"/>
            </w:pPr>
            <w:r w:rsidRPr="00817EA6">
              <w:rPr>
                <w:noProof w:val="0"/>
              </w:rPr>
              <w:t xml:space="preserve">Estimated consumer exposure via drinking water and other sources; threshold of concern approach </w:t>
            </w:r>
          </w:p>
        </w:tc>
        <w:tc>
          <w:tcPr>
            <w:tcW w:w="1516" w:type="pct"/>
            <w:shd w:val="clear" w:color="auto" w:fill="auto"/>
          </w:tcPr>
          <w:p w14:paraId="17F0DAE5" w14:textId="77777777" w:rsidR="00453127" w:rsidRPr="00817EA6" w:rsidRDefault="00453127" w:rsidP="009B666E">
            <w:pPr>
              <w:pStyle w:val="RepTable"/>
            </w:pPr>
            <w:r w:rsidRPr="00817EA6">
              <w:t>not acceptable (&gt; 0.75 µg/L)</w:t>
            </w:r>
          </w:p>
        </w:tc>
      </w:tr>
      <w:tr w:rsidR="00453127" w:rsidRPr="00817EA6" w14:paraId="633B6A5E" w14:textId="77777777" w:rsidTr="00CB360D">
        <w:tc>
          <w:tcPr>
            <w:tcW w:w="648" w:type="pct"/>
            <w:vMerge/>
            <w:shd w:val="clear" w:color="auto" w:fill="auto"/>
          </w:tcPr>
          <w:p w14:paraId="3C1BEA8C" w14:textId="77777777" w:rsidR="00453127" w:rsidRPr="00817EA6" w:rsidRDefault="00453127" w:rsidP="009B666E">
            <w:pPr>
              <w:rPr>
                <w:lang w:val="en-GB"/>
              </w:rPr>
            </w:pPr>
          </w:p>
        </w:tc>
        <w:tc>
          <w:tcPr>
            <w:tcW w:w="1319" w:type="pct"/>
            <w:gridSpan w:val="2"/>
            <w:vMerge w:val="restart"/>
            <w:shd w:val="clear" w:color="auto" w:fill="auto"/>
          </w:tcPr>
          <w:p w14:paraId="1601D8A6" w14:textId="77777777" w:rsidR="00453127" w:rsidRPr="00817EA6" w:rsidRDefault="00453127" w:rsidP="009B666E">
            <w:pPr>
              <w:pStyle w:val="RepTable"/>
            </w:pPr>
            <w:r w:rsidRPr="00817EA6">
              <w:rPr>
                <w:noProof w:val="0"/>
              </w:rPr>
              <w:t>STEP 5</w:t>
            </w:r>
          </w:p>
        </w:tc>
        <w:tc>
          <w:tcPr>
            <w:tcW w:w="1517" w:type="pct"/>
            <w:shd w:val="clear" w:color="auto" w:fill="auto"/>
          </w:tcPr>
          <w:p w14:paraId="5FE11F56" w14:textId="77777777" w:rsidR="00453127" w:rsidRPr="00817EA6" w:rsidRDefault="00453127" w:rsidP="009B666E">
            <w:pPr>
              <w:pStyle w:val="RepTable"/>
            </w:pPr>
            <w:r w:rsidRPr="00817EA6">
              <w:rPr>
                <w:noProof w:val="0"/>
              </w:rPr>
              <w:t>Refined risk assessment</w:t>
            </w:r>
          </w:p>
        </w:tc>
        <w:tc>
          <w:tcPr>
            <w:tcW w:w="1516" w:type="pct"/>
            <w:shd w:val="clear" w:color="auto" w:fill="auto"/>
          </w:tcPr>
          <w:p w14:paraId="5A7C0793" w14:textId="77777777" w:rsidR="00453127" w:rsidRPr="00817EA6" w:rsidRDefault="00453127" w:rsidP="009B666E">
            <w:pPr>
              <w:pStyle w:val="RepTable"/>
            </w:pPr>
            <w:r w:rsidRPr="00817EA6">
              <w:t>acceptable</w:t>
            </w:r>
          </w:p>
        </w:tc>
      </w:tr>
      <w:tr w:rsidR="00453127" w:rsidRPr="00817EA6" w14:paraId="1D0429E5" w14:textId="77777777" w:rsidTr="00CB360D">
        <w:tc>
          <w:tcPr>
            <w:tcW w:w="648" w:type="pct"/>
            <w:vMerge/>
            <w:shd w:val="clear" w:color="auto" w:fill="auto"/>
          </w:tcPr>
          <w:p w14:paraId="796C7B6D" w14:textId="77777777" w:rsidR="00453127" w:rsidRPr="00817EA6" w:rsidRDefault="00453127" w:rsidP="009B666E">
            <w:pPr>
              <w:keepNext/>
              <w:rPr>
                <w:lang w:val="en-GB"/>
              </w:rPr>
            </w:pPr>
          </w:p>
        </w:tc>
        <w:tc>
          <w:tcPr>
            <w:tcW w:w="1319" w:type="pct"/>
            <w:gridSpan w:val="2"/>
            <w:vMerge/>
            <w:shd w:val="clear" w:color="auto" w:fill="auto"/>
          </w:tcPr>
          <w:p w14:paraId="51C7F849" w14:textId="77777777" w:rsidR="00453127" w:rsidRPr="00817EA6" w:rsidRDefault="00453127" w:rsidP="009B666E">
            <w:pPr>
              <w:rPr>
                <w:lang w:val="en-GB"/>
              </w:rPr>
            </w:pPr>
          </w:p>
        </w:tc>
        <w:tc>
          <w:tcPr>
            <w:tcW w:w="1517" w:type="pct"/>
            <w:shd w:val="clear" w:color="auto" w:fill="auto"/>
          </w:tcPr>
          <w:p w14:paraId="7F8CF3BD" w14:textId="77777777" w:rsidR="00453127" w:rsidRPr="00817EA6" w:rsidRDefault="00453127" w:rsidP="009B666E">
            <w:pPr>
              <w:pStyle w:val="RepTable"/>
            </w:pPr>
            <w:r w:rsidRPr="00817EA6">
              <w:rPr>
                <w:noProof w:val="0"/>
              </w:rPr>
              <w:t>Predicted exposure (% of ADI)</w:t>
            </w:r>
          </w:p>
        </w:tc>
        <w:tc>
          <w:tcPr>
            <w:tcW w:w="1516" w:type="pct"/>
            <w:shd w:val="clear" w:color="auto" w:fill="auto"/>
          </w:tcPr>
          <w:p w14:paraId="5D6F9717" w14:textId="7AC4E072" w:rsidR="00453127" w:rsidRPr="00817EA6" w:rsidRDefault="00453127" w:rsidP="009B666E">
            <w:pPr>
              <w:pStyle w:val="RepTable"/>
            </w:pPr>
            <w:r w:rsidRPr="00817EA6">
              <w:rPr>
                <w:noProof w:val="0"/>
              </w:rPr>
              <w:t>&lt; 0.0</w:t>
            </w:r>
            <w:r w:rsidR="009438C3">
              <w:rPr>
                <w:noProof w:val="0"/>
              </w:rPr>
              <w:t>1</w:t>
            </w:r>
            <w:r w:rsidR="00C45E50">
              <w:rPr>
                <w:noProof w:val="0"/>
              </w:rPr>
              <w:t xml:space="preserve">% of ADI </w:t>
            </w:r>
            <w:r w:rsidR="00C45E50" w:rsidRPr="00006F16">
              <w:rPr>
                <w:noProof w:val="0"/>
                <w:shd w:val="clear" w:color="auto" w:fill="BDD6EE" w:themeFill="accent5" w:themeFillTint="66"/>
              </w:rPr>
              <w:t xml:space="preserve">(=10 mg/kg </w:t>
            </w:r>
            <w:proofErr w:type="spellStart"/>
            <w:r w:rsidR="00C45E50" w:rsidRPr="00006F16">
              <w:rPr>
                <w:noProof w:val="0"/>
                <w:shd w:val="clear" w:color="auto" w:fill="BDD6EE" w:themeFill="accent5" w:themeFillTint="66"/>
              </w:rPr>
              <w:t>bw</w:t>
            </w:r>
            <w:proofErr w:type="spellEnd"/>
            <w:r w:rsidR="00C45E50" w:rsidRPr="00006F16">
              <w:rPr>
                <w:noProof w:val="0"/>
                <w:shd w:val="clear" w:color="auto" w:fill="BDD6EE" w:themeFill="accent5" w:themeFillTint="66"/>
              </w:rPr>
              <w:t>/day, EFSA Conclusion 2012)</w:t>
            </w:r>
          </w:p>
        </w:tc>
      </w:tr>
      <w:tr w:rsidR="00453127" w:rsidRPr="00817EA6" w14:paraId="4B5A5EED" w14:textId="77777777" w:rsidTr="00CB360D">
        <w:tc>
          <w:tcPr>
            <w:tcW w:w="648" w:type="pct"/>
            <w:vMerge/>
            <w:tcBorders>
              <w:bottom w:val="single" w:sz="4" w:space="0" w:color="auto"/>
            </w:tcBorders>
            <w:shd w:val="clear" w:color="auto" w:fill="auto"/>
          </w:tcPr>
          <w:p w14:paraId="43C7F62E" w14:textId="77777777" w:rsidR="00453127" w:rsidRPr="00817EA6" w:rsidRDefault="00453127" w:rsidP="009B666E">
            <w:pPr>
              <w:keepNext/>
              <w:rPr>
                <w:lang w:val="en-GB"/>
              </w:rPr>
            </w:pPr>
          </w:p>
        </w:tc>
        <w:tc>
          <w:tcPr>
            <w:tcW w:w="1319" w:type="pct"/>
            <w:gridSpan w:val="2"/>
            <w:tcBorders>
              <w:bottom w:val="single" w:sz="4" w:space="0" w:color="auto"/>
            </w:tcBorders>
            <w:shd w:val="clear" w:color="auto" w:fill="auto"/>
          </w:tcPr>
          <w:p w14:paraId="693C2131" w14:textId="77777777" w:rsidR="00453127" w:rsidRPr="00817EA6" w:rsidRDefault="00453127" w:rsidP="009B666E">
            <w:pPr>
              <w:rPr>
                <w:lang w:val="en-GB"/>
              </w:rPr>
            </w:pPr>
          </w:p>
        </w:tc>
        <w:tc>
          <w:tcPr>
            <w:tcW w:w="1517" w:type="pct"/>
            <w:tcBorders>
              <w:bottom w:val="single" w:sz="4" w:space="0" w:color="auto"/>
            </w:tcBorders>
            <w:shd w:val="clear" w:color="auto" w:fill="auto"/>
          </w:tcPr>
          <w:p w14:paraId="42D256E0" w14:textId="77777777" w:rsidR="00453127" w:rsidRPr="00817EA6" w:rsidRDefault="00453127" w:rsidP="009B666E">
            <w:pPr>
              <w:pStyle w:val="RepTable"/>
            </w:pPr>
            <w:r w:rsidRPr="00817EA6">
              <w:rPr>
                <w:noProof w:val="0"/>
              </w:rPr>
              <w:t>ADI based on</w:t>
            </w:r>
          </w:p>
        </w:tc>
        <w:tc>
          <w:tcPr>
            <w:tcW w:w="1516" w:type="pct"/>
            <w:tcBorders>
              <w:bottom w:val="single" w:sz="4" w:space="0" w:color="auto"/>
            </w:tcBorders>
            <w:shd w:val="clear" w:color="auto" w:fill="auto"/>
          </w:tcPr>
          <w:p w14:paraId="1A5BB5CE" w14:textId="77777777" w:rsidR="00453127" w:rsidRPr="00817EA6" w:rsidRDefault="00453127" w:rsidP="009B666E">
            <w:pPr>
              <w:pStyle w:val="RepTable"/>
            </w:pPr>
            <w:r w:rsidRPr="00817EA6">
              <w:rPr>
                <w:noProof w:val="0"/>
              </w:rPr>
              <w:t>all considered consumer groups</w:t>
            </w:r>
          </w:p>
        </w:tc>
      </w:tr>
    </w:tbl>
    <w:p w14:paraId="64F881B0" w14:textId="77777777" w:rsidR="00453127" w:rsidRPr="00817EA6" w:rsidRDefault="00453127" w:rsidP="00453127"/>
    <w:p w14:paraId="11F9E935" w14:textId="77777777" w:rsidR="00453127" w:rsidRPr="00817EA6" w:rsidRDefault="00453127" w:rsidP="00453127">
      <w:pPr>
        <w:pStyle w:val="Nagwek3"/>
      </w:pPr>
      <w:bookmarkStart w:id="58" w:name="_Toc474145434"/>
      <w:bookmarkStart w:id="59" w:name="_Toc181622172"/>
      <w:r w:rsidRPr="00817EA6">
        <w:t>STEP 1: Exclusion of degradation products of no concern</w:t>
      </w:r>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97682FF" w14:textId="251A9283" w:rsidR="00453127" w:rsidRPr="00817EA6" w:rsidRDefault="00453127" w:rsidP="00453127">
      <w:pPr>
        <w:pStyle w:val="RepStandard"/>
      </w:pPr>
      <w:r w:rsidRPr="00817EA6">
        <w:t>Metabolite M650F03 does not meet the criteria for products of no concern as defined in step 1 of the guidance and therefore needs further assessment.</w:t>
      </w:r>
    </w:p>
    <w:p w14:paraId="528C660C" w14:textId="77777777" w:rsidR="00453127" w:rsidRPr="00817EA6" w:rsidRDefault="00453127" w:rsidP="00453127">
      <w:pPr>
        <w:pStyle w:val="Nagwek3"/>
      </w:pPr>
      <w:bookmarkStart w:id="60" w:name="_Toc412025986"/>
      <w:bookmarkStart w:id="61" w:name="_Toc413754715"/>
      <w:bookmarkStart w:id="62" w:name="_Toc413755116"/>
      <w:bookmarkStart w:id="63" w:name="_Toc413755142"/>
      <w:bookmarkStart w:id="64" w:name="_Toc413755167"/>
      <w:bookmarkStart w:id="65" w:name="_Toc413941043"/>
      <w:bookmarkStart w:id="66" w:name="_Toc413943193"/>
      <w:bookmarkStart w:id="67" w:name="_Toc414542742"/>
      <w:bookmarkStart w:id="68" w:name="_Toc414544992"/>
      <w:bookmarkStart w:id="69" w:name="_Toc414545019"/>
      <w:bookmarkStart w:id="70" w:name="_Toc414608127"/>
      <w:bookmarkStart w:id="71" w:name="_Toc415230181"/>
      <w:bookmarkStart w:id="72" w:name="_Toc474145435"/>
      <w:bookmarkStart w:id="73" w:name="_Toc181622173"/>
      <w:r w:rsidRPr="00817EA6">
        <w:t>STEP 2: Quantification of potential groundwater contamination</w:t>
      </w:r>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6F33CC79" w14:textId="77777777" w:rsidR="00453127" w:rsidRPr="00817EA6" w:rsidRDefault="00453127" w:rsidP="00453127">
      <w:pPr>
        <w:pStyle w:val="RepStandard"/>
        <w:rPr>
          <w:lang w:eastAsia="fr-BE"/>
        </w:rPr>
      </w:pPr>
      <w:r w:rsidRPr="00817EA6">
        <w:rPr>
          <w:lang w:eastAsia="fr-BE"/>
        </w:rPr>
        <w:t>PEC</w:t>
      </w:r>
      <w:r w:rsidRPr="00817EA6">
        <w:rPr>
          <w:vertAlign w:val="subscript"/>
          <w:lang w:eastAsia="fr-BE"/>
        </w:rPr>
        <w:t>GW</w:t>
      </w:r>
      <w:r w:rsidRPr="00817EA6">
        <w:rPr>
          <w:lang w:eastAsia="fr-BE"/>
        </w:rPr>
        <w:t xml:space="preserve"> calculations after leaching from soil for M650F03 were performed (see Part B, Section 8, chapter 8.8.2). The uses for which concentrations of M650F03 were considered to exceed 0.1 µg/L are listed in Table 8.1-1 (GAP table)</w:t>
      </w:r>
      <w:r w:rsidRPr="00817EA6">
        <w:rPr>
          <w:i/>
          <w:lang w:eastAsia="fr-BE"/>
        </w:rPr>
        <w:t>.</w:t>
      </w:r>
      <w:r w:rsidRPr="00817EA6">
        <w:rPr>
          <w:lang w:eastAsia="fr-BE"/>
        </w:rPr>
        <w:t xml:space="preserve"> Details are given in Part B, Section 8, chapter 8.8.</w:t>
      </w:r>
    </w:p>
    <w:p w14:paraId="3138304D" w14:textId="77777777" w:rsidR="00453127" w:rsidRPr="00817EA6" w:rsidRDefault="00453127" w:rsidP="00453127">
      <w:pPr>
        <w:pStyle w:val="RepStandard"/>
        <w:rPr>
          <w:lang w:eastAsia="fr-BE"/>
        </w:rPr>
      </w:pPr>
    </w:p>
    <w:p w14:paraId="53A1B4A4" w14:textId="78AE300C" w:rsidR="00453127" w:rsidRPr="009F5A83" w:rsidRDefault="00453127" w:rsidP="009F5A83">
      <w:pPr>
        <w:pStyle w:val="RepStandard"/>
        <w:shd w:val="clear" w:color="auto" w:fill="D9D9D9" w:themeFill="background1" w:themeFillShade="D9"/>
        <w:rPr>
          <w:strike/>
          <w:color w:val="808080" w:themeColor="background1" w:themeShade="80"/>
          <w:lang w:eastAsia="fr-BE"/>
        </w:rPr>
      </w:pPr>
      <w:r w:rsidRPr="009F5A83">
        <w:rPr>
          <w:strike/>
          <w:color w:val="808080" w:themeColor="background1" w:themeShade="80"/>
          <w:lang w:eastAsia="fr-BE"/>
        </w:rPr>
        <w:t>The maximum PEC</w:t>
      </w:r>
      <w:r w:rsidRPr="009F5A83">
        <w:rPr>
          <w:strike/>
          <w:color w:val="808080" w:themeColor="background1" w:themeShade="80"/>
          <w:vertAlign w:val="subscript"/>
          <w:lang w:eastAsia="fr-BE"/>
        </w:rPr>
        <w:t>GW</w:t>
      </w:r>
      <w:r w:rsidRPr="009F5A83">
        <w:rPr>
          <w:strike/>
          <w:color w:val="808080" w:themeColor="background1" w:themeShade="80"/>
          <w:lang w:eastAsia="fr-BE"/>
        </w:rPr>
        <w:t xml:space="preserve"> calculated for M650F03 (</w:t>
      </w:r>
      <w:r w:rsidR="00446C0B" w:rsidRPr="009F5A83">
        <w:rPr>
          <w:strike/>
          <w:color w:val="808080" w:themeColor="background1" w:themeShade="80"/>
          <w:sz w:val="20"/>
          <w:szCs w:val="20"/>
        </w:rPr>
        <w:t xml:space="preserve">Salad crops, BBCH 10-19, 1×240 g </w:t>
      </w:r>
      <w:proofErr w:type="spellStart"/>
      <w:r w:rsidR="00446C0B" w:rsidRPr="009F5A83">
        <w:rPr>
          <w:strike/>
          <w:color w:val="808080" w:themeColor="background1" w:themeShade="80"/>
          <w:sz w:val="20"/>
          <w:szCs w:val="20"/>
        </w:rPr>
        <w:t>a.s.</w:t>
      </w:r>
      <w:proofErr w:type="spellEnd"/>
      <w:r w:rsidR="00446C0B" w:rsidRPr="009F5A83">
        <w:rPr>
          <w:strike/>
          <w:color w:val="808080" w:themeColor="background1" w:themeShade="80"/>
          <w:sz w:val="20"/>
          <w:szCs w:val="20"/>
        </w:rPr>
        <w:t>/ha, every year application</w:t>
      </w:r>
      <w:r w:rsidRPr="009F5A83">
        <w:rPr>
          <w:strike/>
          <w:color w:val="808080" w:themeColor="background1" w:themeShade="80"/>
          <w:lang w:eastAsia="fr-BE"/>
        </w:rPr>
        <w:t>) was above 0.75 µg/L, but &lt;10 µg/L.</w:t>
      </w:r>
    </w:p>
    <w:p w14:paraId="5F0858AB" w14:textId="77777777" w:rsidR="00453127" w:rsidRPr="00817EA6" w:rsidRDefault="00453127" w:rsidP="00453127">
      <w:pPr>
        <w:pStyle w:val="Nagwek3"/>
      </w:pPr>
      <w:bookmarkStart w:id="74" w:name="_Toc412025987"/>
      <w:bookmarkStart w:id="75" w:name="_Toc413754716"/>
      <w:bookmarkStart w:id="76" w:name="_Toc413755117"/>
      <w:bookmarkStart w:id="77" w:name="_Toc413755143"/>
      <w:bookmarkStart w:id="78" w:name="_Toc413755168"/>
      <w:bookmarkStart w:id="79" w:name="_Toc413941044"/>
      <w:bookmarkStart w:id="80" w:name="_Toc413943194"/>
      <w:bookmarkStart w:id="81" w:name="_Toc414542743"/>
      <w:bookmarkStart w:id="82" w:name="_Toc414544993"/>
      <w:bookmarkStart w:id="83" w:name="_Toc414545020"/>
      <w:bookmarkStart w:id="84" w:name="_Toc414608128"/>
      <w:bookmarkStart w:id="85" w:name="_Toc415230182"/>
      <w:bookmarkStart w:id="86" w:name="_Toc474145436"/>
      <w:bookmarkStart w:id="87" w:name="_Toc181622174"/>
      <w:r w:rsidRPr="00817EA6">
        <w:t>STEP 3: Hazard assessment – identification of relevant metabolites</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5E3E8A63" w14:textId="77777777" w:rsidR="00453127" w:rsidRPr="00817EA6" w:rsidRDefault="00453127" w:rsidP="00453127">
      <w:pPr>
        <w:pStyle w:val="Nagwek4"/>
        <w:rPr>
          <w:lang w:val="en-GB"/>
        </w:rPr>
      </w:pPr>
      <w:bookmarkStart w:id="88" w:name="_Toc413754717"/>
      <w:bookmarkStart w:id="89" w:name="_Toc413755118"/>
      <w:bookmarkStart w:id="90" w:name="_Toc413755144"/>
      <w:bookmarkStart w:id="91" w:name="_Toc413755169"/>
      <w:bookmarkStart w:id="92" w:name="_Toc413941045"/>
      <w:bookmarkStart w:id="93" w:name="_Toc413943195"/>
      <w:bookmarkStart w:id="94" w:name="_Toc414542744"/>
      <w:bookmarkStart w:id="95" w:name="_Toc414544994"/>
      <w:bookmarkStart w:id="96" w:name="_Toc414545021"/>
      <w:bookmarkStart w:id="97" w:name="_Toc414608129"/>
      <w:bookmarkStart w:id="98" w:name="_Toc415230183"/>
      <w:bookmarkStart w:id="99" w:name="_Toc474145437"/>
      <w:bookmarkStart w:id="100" w:name="_Toc181622175"/>
      <w:r w:rsidRPr="00817EA6">
        <w:rPr>
          <w:lang w:val="en-GB"/>
        </w:rPr>
        <w:t>STEP 3, Stage 1: screening for biological activity</w:t>
      </w:r>
      <w:bookmarkEnd w:id="88"/>
      <w:bookmarkEnd w:id="89"/>
      <w:bookmarkEnd w:id="90"/>
      <w:bookmarkEnd w:id="91"/>
      <w:bookmarkEnd w:id="92"/>
      <w:bookmarkEnd w:id="93"/>
      <w:bookmarkEnd w:id="94"/>
      <w:bookmarkEnd w:id="95"/>
      <w:bookmarkEnd w:id="96"/>
      <w:bookmarkEnd w:id="97"/>
      <w:bookmarkEnd w:id="98"/>
      <w:bookmarkEnd w:id="99"/>
      <w:bookmarkEnd w:id="100"/>
    </w:p>
    <w:p w14:paraId="204FD1E2" w14:textId="257719CF" w:rsidR="00453127" w:rsidRPr="00817EA6" w:rsidRDefault="00453127" w:rsidP="00453127">
      <w:pPr>
        <w:jc w:val="both"/>
        <w:rPr>
          <w:lang w:val="en-GB"/>
        </w:rPr>
      </w:pPr>
      <w:bookmarkStart w:id="101" w:name="_Toc413754718"/>
      <w:bookmarkStart w:id="102" w:name="_Toc413755119"/>
      <w:bookmarkStart w:id="103" w:name="_Toc413755145"/>
      <w:bookmarkStart w:id="104" w:name="_Toc413755170"/>
      <w:bookmarkStart w:id="105" w:name="_Toc413941046"/>
      <w:bookmarkStart w:id="106" w:name="_Toc413943196"/>
      <w:bookmarkStart w:id="107" w:name="_Toc414542745"/>
      <w:bookmarkStart w:id="108" w:name="_Toc414544995"/>
      <w:bookmarkStart w:id="109" w:name="_Toc414545022"/>
      <w:bookmarkStart w:id="110" w:name="_Toc414608130"/>
      <w:r w:rsidRPr="00817EA6">
        <w:t xml:space="preserve">Fungicidal efficacy of </w:t>
      </w:r>
      <w:proofErr w:type="spellStart"/>
      <w:r w:rsidRPr="00817EA6">
        <w:t>Ametoctradin</w:t>
      </w:r>
      <w:proofErr w:type="spellEnd"/>
      <w:r w:rsidRPr="00817EA6">
        <w:t xml:space="preserve"> metabolites was evaluated in glasshouse trials with 2 major fungal pathogens representing the fungicide profile of </w:t>
      </w:r>
      <w:proofErr w:type="spellStart"/>
      <w:r w:rsidRPr="00817EA6">
        <w:t>Ametoctradin</w:t>
      </w:r>
      <w:proofErr w:type="spellEnd"/>
      <w:r w:rsidRPr="00817EA6">
        <w:t xml:space="preserve"> (</w:t>
      </w:r>
      <w:r w:rsidRPr="00817EA6">
        <w:rPr>
          <w:i/>
          <w:iCs/>
        </w:rPr>
        <w:t xml:space="preserve">Phytophthora </w:t>
      </w:r>
      <w:proofErr w:type="spellStart"/>
      <w:r w:rsidRPr="00817EA6">
        <w:rPr>
          <w:i/>
          <w:iCs/>
        </w:rPr>
        <w:t>infestans</w:t>
      </w:r>
      <w:proofErr w:type="spellEnd"/>
      <w:r w:rsidRPr="00817EA6">
        <w:t xml:space="preserve"> and </w:t>
      </w:r>
      <w:proofErr w:type="spellStart"/>
      <w:r w:rsidRPr="00817EA6">
        <w:rPr>
          <w:rFonts w:eastAsia="SimSun"/>
          <w:i/>
          <w:iCs/>
          <w:lang w:eastAsia="zh-CN"/>
        </w:rPr>
        <w:t>Plasmopara</w:t>
      </w:r>
      <w:proofErr w:type="spellEnd"/>
      <w:r w:rsidRPr="00817EA6">
        <w:rPr>
          <w:rFonts w:eastAsia="SimSun"/>
          <w:i/>
          <w:iCs/>
          <w:lang w:eastAsia="zh-CN"/>
        </w:rPr>
        <w:t xml:space="preserve"> </w:t>
      </w:r>
      <w:proofErr w:type="spellStart"/>
      <w:r w:rsidRPr="00817EA6">
        <w:rPr>
          <w:rFonts w:eastAsia="SimSun"/>
          <w:i/>
          <w:iCs/>
          <w:lang w:eastAsia="zh-CN"/>
        </w:rPr>
        <w:t>viticola</w:t>
      </w:r>
      <w:proofErr w:type="spellEnd"/>
      <w:r w:rsidRPr="00817EA6">
        <w:t xml:space="preserve">).  None of the tested metabolites did provide significant efficacy against any of the fungal pathogens, while the parent compound </w:t>
      </w:r>
      <w:proofErr w:type="spellStart"/>
      <w:r w:rsidRPr="00817EA6">
        <w:t>Ametoctradin</w:t>
      </w:r>
      <w:proofErr w:type="spellEnd"/>
      <w:r w:rsidRPr="00817EA6">
        <w:t xml:space="preserve"> provided very good control [see former EU dossier Aug. 2008, chapter MII, 3.5.2; </w:t>
      </w:r>
      <w:r w:rsidR="008F67A4">
        <w:t>XXXX</w:t>
      </w:r>
      <w:r w:rsidRPr="00817EA6">
        <w:t xml:space="preserve"> </w:t>
      </w:r>
      <w:proofErr w:type="spellStart"/>
      <w:r w:rsidRPr="00817EA6">
        <w:t>DocID</w:t>
      </w:r>
      <w:proofErr w:type="spellEnd"/>
      <w:r w:rsidRPr="00817EA6">
        <w:t xml:space="preserve"> 2008/1021354 </w:t>
      </w:r>
      <w:bookmarkStart w:id="111" w:name="_Hlk43120250"/>
      <w:bookmarkStart w:id="112" w:name="_Hlk43120891"/>
      <w:r w:rsidRPr="00817EA6">
        <w:t>Merk &amp; Scherer, 2008</w:t>
      </w:r>
      <w:bookmarkEnd w:id="111"/>
      <w:r w:rsidRPr="00817EA6">
        <w:t>].</w:t>
      </w:r>
      <w:bookmarkEnd w:id="112"/>
    </w:p>
    <w:p w14:paraId="1F5DC782" w14:textId="77777777" w:rsidR="00453127" w:rsidRPr="00817EA6" w:rsidRDefault="00453127" w:rsidP="00453127">
      <w:pPr>
        <w:pStyle w:val="Nagwek4"/>
        <w:rPr>
          <w:lang w:val="en-GB"/>
        </w:rPr>
      </w:pPr>
      <w:bookmarkStart w:id="113" w:name="_Toc415230184"/>
      <w:bookmarkStart w:id="114" w:name="_Toc474145438"/>
      <w:bookmarkStart w:id="115" w:name="_Toc181622176"/>
      <w:r w:rsidRPr="00817EA6">
        <w:rPr>
          <w:lang w:val="en-GB"/>
        </w:rPr>
        <w:lastRenderedPageBreak/>
        <w:t>STEP 3, Stage 2: screening for genotoxicity</w:t>
      </w:r>
      <w:bookmarkEnd w:id="101"/>
      <w:bookmarkEnd w:id="102"/>
      <w:bookmarkEnd w:id="103"/>
      <w:bookmarkEnd w:id="104"/>
      <w:bookmarkEnd w:id="105"/>
      <w:bookmarkEnd w:id="106"/>
      <w:bookmarkEnd w:id="107"/>
      <w:bookmarkEnd w:id="108"/>
      <w:bookmarkEnd w:id="109"/>
      <w:bookmarkEnd w:id="110"/>
      <w:bookmarkEnd w:id="113"/>
      <w:bookmarkEnd w:id="114"/>
      <w:bookmarkEnd w:id="115"/>
    </w:p>
    <w:p w14:paraId="6BBB94D3" w14:textId="295DD083" w:rsidR="00453127" w:rsidRDefault="00453127" w:rsidP="00453127">
      <w:pPr>
        <w:pStyle w:val="RepStandard"/>
      </w:pPr>
      <w:r w:rsidRPr="00817EA6">
        <w:t xml:space="preserve">M650F03 was screened for genotoxic activity by the following data package of </w:t>
      </w:r>
      <w:r w:rsidRPr="00817EA6">
        <w:rPr>
          <w:i/>
        </w:rPr>
        <w:t>in vitro</w:t>
      </w:r>
      <w:r w:rsidRPr="00817EA6">
        <w:t xml:space="preserve"> and </w:t>
      </w:r>
      <w:r w:rsidRPr="00817EA6">
        <w:rPr>
          <w:i/>
        </w:rPr>
        <w:t>in vivo</w:t>
      </w:r>
      <w:r w:rsidRPr="00817EA6">
        <w:t xml:space="preserve"> genotoxicity studies: Ames test, </w:t>
      </w:r>
      <w:r w:rsidRPr="00817EA6">
        <w:rPr>
          <w:i/>
        </w:rPr>
        <w:t>in vitro</w:t>
      </w:r>
      <w:r w:rsidRPr="00817EA6">
        <w:t xml:space="preserve"> gene mutation test with mammalian cells, and an </w:t>
      </w:r>
      <w:r w:rsidRPr="00817EA6">
        <w:rPr>
          <w:i/>
        </w:rPr>
        <w:t>in vitro</w:t>
      </w:r>
      <w:r w:rsidRPr="00817EA6">
        <w:t xml:space="preserve"> chromosome aberration test and</w:t>
      </w:r>
      <w:r w:rsidR="002C6E13">
        <w:t xml:space="preserve"> </w:t>
      </w:r>
      <w:r w:rsidR="002C6E13" w:rsidRPr="002C6E13">
        <w:rPr>
          <w:i/>
          <w:iCs/>
          <w:highlight w:val="yellow"/>
        </w:rPr>
        <w:t>in vitro</w:t>
      </w:r>
      <w:r w:rsidR="002C6E13">
        <w:t xml:space="preserve"> and</w:t>
      </w:r>
      <w:r w:rsidRPr="00817EA6">
        <w:t xml:space="preserve"> </w:t>
      </w:r>
      <w:r w:rsidRPr="00817EA6">
        <w:rPr>
          <w:i/>
        </w:rPr>
        <w:t>in vivo</w:t>
      </w:r>
      <w:r w:rsidRPr="00817EA6">
        <w:t xml:space="preserve"> micronucleus test. M650F03 was non-genotoxic as shown by a negative Ames test, negative gene mutation test with mammalian cells, negative chromosome aberration test </w:t>
      </w:r>
      <w:r w:rsidRPr="00817EA6">
        <w:rPr>
          <w:i/>
        </w:rPr>
        <w:t>in vitro</w:t>
      </w:r>
      <w:r w:rsidRPr="00817EA6">
        <w:t xml:space="preserve"> and negative micronucleus test </w:t>
      </w:r>
      <w:r w:rsidRPr="00817EA6">
        <w:rPr>
          <w:i/>
        </w:rPr>
        <w:t>in vivo</w:t>
      </w:r>
      <w:r w:rsidRPr="00817EA6">
        <w:t>. M650F03 is considered not relevant and is further evaluated in Stage 3. The genotoxicity studies are evaluated in Part B, Section 6, studies referenced in DAR (Volume 3, Annex B.6.8).</w:t>
      </w:r>
    </w:p>
    <w:p w14:paraId="4DBEFB71" w14:textId="77777777" w:rsidR="00FD4FF5" w:rsidRDefault="00FD4FF5" w:rsidP="00453127">
      <w:pPr>
        <w:pStyle w:val="RepStandard"/>
      </w:pPr>
    </w:p>
    <w:p w14:paraId="6279F650" w14:textId="2CD55B86" w:rsidR="007B5327" w:rsidRPr="00093F35" w:rsidRDefault="00181DDD" w:rsidP="00093F35">
      <w:pPr>
        <w:widowControl w:val="0"/>
        <w:shd w:val="clear" w:color="auto" w:fill="BDD6EE" w:themeFill="accent5" w:themeFillTint="66"/>
        <w:jc w:val="both"/>
        <w:rPr>
          <w:rFonts w:eastAsia="Calibri"/>
          <w:bCs/>
        </w:rPr>
      </w:pPr>
      <w:r w:rsidRPr="00093F35">
        <w:rPr>
          <w:lang w:val="en-GB"/>
        </w:rPr>
        <w:t xml:space="preserve">Full summary of </w:t>
      </w:r>
      <w:r w:rsidRPr="00093F35">
        <w:rPr>
          <w:i/>
          <w:lang w:val="en-GB"/>
        </w:rPr>
        <w:t>in vitro</w:t>
      </w:r>
      <w:r w:rsidRPr="00093F35">
        <w:rPr>
          <w:lang w:val="en-GB"/>
        </w:rPr>
        <w:t xml:space="preserve"> MNT study (Naumann, 2019) on metabolite M650F03 that has not previously been considered within an EU peer review process is described in detail in Appendix 2 of </w:t>
      </w:r>
      <w:proofErr w:type="spellStart"/>
      <w:r w:rsidRPr="00093F35">
        <w:rPr>
          <w:lang w:val="en-GB"/>
        </w:rPr>
        <w:t>fRR</w:t>
      </w:r>
      <w:proofErr w:type="spellEnd"/>
      <w:r w:rsidRPr="00093F35">
        <w:rPr>
          <w:lang w:val="en-GB"/>
        </w:rPr>
        <w:t xml:space="preserve"> B6 (A 2.11 Other/Special Studies). </w:t>
      </w:r>
      <w:r w:rsidRPr="00093F35">
        <w:rPr>
          <w:rFonts w:eastAsia="Calibri"/>
          <w:bCs/>
        </w:rPr>
        <w:t xml:space="preserve">M650F03 is considered to be non-mutagenic in this </w:t>
      </w:r>
      <w:r w:rsidRPr="00093F35">
        <w:rPr>
          <w:rFonts w:eastAsia="Calibri"/>
          <w:bCs/>
          <w:i/>
        </w:rPr>
        <w:t>in vitro</w:t>
      </w:r>
      <w:r w:rsidRPr="00093F35">
        <w:rPr>
          <w:rFonts w:eastAsia="Calibri"/>
          <w:bCs/>
        </w:rPr>
        <w:t xml:space="preserve"> micronucleus test in human lymphocytes when tested up to the highest concentration evaluated (2395 µg/mL).</w:t>
      </w:r>
    </w:p>
    <w:p w14:paraId="75CB4CBC" w14:textId="25EE6D8C" w:rsidR="00181DDD" w:rsidRPr="00093F35" w:rsidRDefault="00181DDD" w:rsidP="00093F35">
      <w:pPr>
        <w:pStyle w:val="RepStandard"/>
        <w:shd w:val="clear" w:color="auto" w:fill="BDD6EE" w:themeFill="accent5" w:themeFillTint="66"/>
        <w:rPr>
          <w:lang w:val="en-GB"/>
        </w:rPr>
      </w:pPr>
      <w:r w:rsidRPr="00093F35">
        <w:rPr>
          <w:lang w:val="en-GB"/>
        </w:rPr>
        <w:t xml:space="preserve">Based on DE comment received during commenting period for this dossier: </w:t>
      </w:r>
      <w:proofErr w:type="spellStart"/>
      <w:r w:rsidRPr="00093F35">
        <w:rPr>
          <w:bCs/>
          <w:i/>
        </w:rPr>
        <w:t>ametoctradin</w:t>
      </w:r>
      <w:proofErr w:type="spellEnd"/>
      <w:r w:rsidRPr="00093F35">
        <w:rPr>
          <w:bCs/>
          <w:i/>
        </w:rPr>
        <w:t xml:space="preserve"> is currently under re-assessment and according to the current RAR (April 2024) there are some deviations in some of the genotoxicity studies which justify a downgrade to supplementary (i.e. only 200 metaphases </w:t>
      </w:r>
      <w:proofErr w:type="spellStart"/>
      <w:r w:rsidRPr="00093F35">
        <w:rPr>
          <w:bCs/>
          <w:i/>
        </w:rPr>
        <w:t>analysed</w:t>
      </w:r>
      <w:proofErr w:type="spellEnd"/>
      <w:r w:rsidRPr="00093F35">
        <w:rPr>
          <w:bCs/>
          <w:i/>
        </w:rPr>
        <w:t xml:space="preserve"> instead of 300 in the chromosome aberration studies and no evidence of bone marrow exposure + only 2000 cells scored instead of 4000 in the in vivo MN study)</w:t>
      </w:r>
      <w:r w:rsidRPr="00093F35">
        <w:rPr>
          <w:bCs/>
        </w:rPr>
        <w:t>.</w:t>
      </w:r>
    </w:p>
    <w:p w14:paraId="524AA23A" w14:textId="77777777" w:rsidR="00453127" w:rsidRPr="00817EA6" w:rsidRDefault="00453127" w:rsidP="00453127">
      <w:pPr>
        <w:pStyle w:val="Nagwek4"/>
        <w:rPr>
          <w:lang w:val="en-GB"/>
        </w:rPr>
      </w:pPr>
      <w:bookmarkStart w:id="116" w:name="_Toc413754719"/>
      <w:bookmarkStart w:id="117" w:name="_Toc413755120"/>
      <w:bookmarkStart w:id="118" w:name="_Toc413755146"/>
      <w:bookmarkStart w:id="119" w:name="_Toc413755171"/>
      <w:bookmarkStart w:id="120" w:name="_Toc413941047"/>
      <w:bookmarkStart w:id="121" w:name="_Toc413943197"/>
      <w:bookmarkStart w:id="122" w:name="_Toc414542746"/>
      <w:bookmarkStart w:id="123" w:name="_Toc414544996"/>
      <w:bookmarkStart w:id="124" w:name="_Toc414545023"/>
      <w:bookmarkStart w:id="125" w:name="_Toc414608131"/>
      <w:bookmarkStart w:id="126" w:name="_Toc415230185"/>
      <w:bookmarkStart w:id="127" w:name="_Toc474145439"/>
      <w:bookmarkStart w:id="128" w:name="_Toc181622177"/>
      <w:r w:rsidRPr="00817EA6">
        <w:rPr>
          <w:lang w:val="en-GB"/>
        </w:rPr>
        <w:t>STEP 3, Stage 3: screening for toxicity</w:t>
      </w:r>
      <w:bookmarkEnd w:id="116"/>
      <w:bookmarkEnd w:id="117"/>
      <w:bookmarkEnd w:id="118"/>
      <w:bookmarkEnd w:id="119"/>
      <w:bookmarkEnd w:id="120"/>
      <w:bookmarkEnd w:id="121"/>
      <w:bookmarkEnd w:id="122"/>
      <w:bookmarkEnd w:id="123"/>
      <w:bookmarkEnd w:id="124"/>
      <w:bookmarkEnd w:id="125"/>
      <w:bookmarkEnd w:id="126"/>
      <w:bookmarkEnd w:id="127"/>
      <w:bookmarkEnd w:id="128"/>
    </w:p>
    <w:p w14:paraId="143E6CC8" w14:textId="53F2F751" w:rsidR="00453127" w:rsidRPr="00697607" w:rsidRDefault="00453127" w:rsidP="00453127">
      <w:pPr>
        <w:pStyle w:val="RepStandard"/>
        <w:rPr>
          <w:color w:val="0070C0"/>
        </w:rPr>
      </w:pPr>
      <w:proofErr w:type="spellStart"/>
      <w:r w:rsidRPr="00817EA6">
        <w:t>Ametoctradin</w:t>
      </w:r>
      <w:proofErr w:type="spellEnd"/>
      <w:r w:rsidRPr="00817EA6">
        <w:t xml:space="preserve"> is not classified as acutely or chronically toxic or very toxic (Acute Tox. Cat. 1 or 2, STOT Re 1 or STOT SE according to the CLP regulation 1272/2008). </w:t>
      </w:r>
      <w:proofErr w:type="spellStart"/>
      <w:r w:rsidRPr="00817EA6">
        <w:t>Ametoctradin</w:t>
      </w:r>
      <w:proofErr w:type="spellEnd"/>
      <w:r w:rsidRPr="00817EA6">
        <w:t xml:space="preserve"> is also not classified for reproductive toxicity (</w:t>
      </w:r>
      <w:proofErr w:type="spellStart"/>
      <w:r w:rsidRPr="00817EA6">
        <w:t>Repr</w:t>
      </w:r>
      <w:proofErr w:type="spellEnd"/>
      <w:r w:rsidRPr="00817EA6">
        <w:t>. Cat 1 or 2). Also it is not classified in any category for carcinogens. In addition, semi chronic testing of M650F03 for 13 weeks</w:t>
      </w:r>
      <w:r w:rsidR="002C6E13">
        <w:t xml:space="preserve"> </w:t>
      </w:r>
      <w:r w:rsidR="002C6E13" w:rsidRPr="002C6E13">
        <w:rPr>
          <w:highlight w:val="yellow"/>
        </w:rPr>
        <w:t>(90-day oral study</w:t>
      </w:r>
      <w:r w:rsidR="00697607">
        <w:rPr>
          <w:highlight w:val="yellow"/>
        </w:rPr>
        <w:t xml:space="preserve">, </w:t>
      </w:r>
      <w:r w:rsidR="00697607" w:rsidRPr="00093F35">
        <w:rPr>
          <w:shd w:val="clear" w:color="auto" w:fill="BDD6EE" w:themeFill="accent5" w:themeFillTint="66"/>
          <w:lang w:val="fr-FR"/>
        </w:rPr>
        <w:t>Kaspers, U. et al.., 2008a</w:t>
      </w:r>
      <w:r w:rsidR="002C6E13" w:rsidRPr="002C6E13">
        <w:rPr>
          <w:highlight w:val="yellow"/>
        </w:rPr>
        <w:t>)</w:t>
      </w:r>
      <w:r w:rsidRPr="00817EA6">
        <w:t xml:space="preserve"> in rats yielded no toxicological relevant effects up to the limit dose.</w:t>
      </w:r>
      <w:r w:rsidR="00697607">
        <w:t xml:space="preserve"> </w:t>
      </w:r>
      <w:r w:rsidR="00697607" w:rsidRPr="00093F35">
        <w:rPr>
          <w:bCs/>
          <w:shd w:val="clear" w:color="auto" w:fill="BDD6EE" w:themeFill="accent5" w:themeFillTint="66"/>
          <w:lang w:val="en-GB"/>
        </w:rPr>
        <w:t>According to the most recent assessment at EU level (RAR April 2024) no relevant adverse findings were observed</w:t>
      </w:r>
      <w:r w:rsidR="00B85688" w:rsidRPr="00093F35">
        <w:rPr>
          <w:bCs/>
          <w:shd w:val="clear" w:color="auto" w:fill="BDD6EE" w:themeFill="accent5" w:themeFillTint="66"/>
          <w:lang w:val="en-GB"/>
        </w:rPr>
        <w:t xml:space="preserve"> 90-d oral study in rat</w:t>
      </w:r>
      <w:r w:rsidR="00697607" w:rsidRPr="00093F35">
        <w:rPr>
          <w:bCs/>
          <w:shd w:val="clear" w:color="auto" w:fill="BDD6EE" w:themeFill="accent5" w:themeFillTint="66"/>
          <w:lang w:val="en-GB"/>
        </w:rPr>
        <w:t xml:space="preserve">. The NOAELs were 942.6 mg/kg </w:t>
      </w:r>
      <w:proofErr w:type="spellStart"/>
      <w:r w:rsidR="00697607" w:rsidRPr="00093F35">
        <w:rPr>
          <w:bCs/>
          <w:shd w:val="clear" w:color="auto" w:fill="BDD6EE" w:themeFill="accent5" w:themeFillTint="66"/>
          <w:lang w:val="en-GB"/>
        </w:rPr>
        <w:t>bw</w:t>
      </w:r>
      <w:proofErr w:type="spellEnd"/>
      <w:r w:rsidR="00697607" w:rsidRPr="00093F35">
        <w:rPr>
          <w:bCs/>
          <w:shd w:val="clear" w:color="auto" w:fill="BDD6EE" w:themeFill="accent5" w:themeFillTint="66"/>
          <w:lang w:val="en-GB"/>
        </w:rPr>
        <w:t xml:space="preserve">/d (male) and 1093.6 mg/kg </w:t>
      </w:r>
      <w:proofErr w:type="spellStart"/>
      <w:r w:rsidR="00697607" w:rsidRPr="00093F35">
        <w:rPr>
          <w:bCs/>
          <w:shd w:val="clear" w:color="auto" w:fill="BDD6EE" w:themeFill="accent5" w:themeFillTint="66"/>
          <w:lang w:val="en-GB"/>
        </w:rPr>
        <w:t>bw</w:t>
      </w:r>
      <w:proofErr w:type="spellEnd"/>
      <w:r w:rsidR="00697607" w:rsidRPr="00093F35">
        <w:rPr>
          <w:bCs/>
          <w:shd w:val="clear" w:color="auto" w:fill="BDD6EE" w:themeFill="accent5" w:themeFillTint="66"/>
          <w:lang w:val="en-GB"/>
        </w:rPr>
        <w:t>/d (female) [</w:t>
      </w:r>
      <w:r w:rsidR="00697607" w:rsidRPr="00093F35">
        <w:rPr>
          <w:shd w:val="clear" w:color="auto" w:fill="BDD6EE" w:themeFill="accent5" w:themeFillTint="66"/>
          <w:lang w:val="en-GB"/>
        </w:rPr>
        <w:t>based on DE comment received during commenting period for this dossier</w:t>
      </w:r>
      <w:r w:rsidR="00697607" w:rsidRPr="00093F35">
        <w:rPr>
          <w:bCs/>
          <w:shd w:val="clear" w:color="auto" w:fill="BDD6EE" w:themeFill="accent5" w:themeFillTint="66"/>
          <w:lang w:val="en-GB"/>
        </w:rPr>
        <w:t>].</w:t>
      </w:r>
    </w:p>
    <w:p w14:paraId="39DFE2BD" w14:textId="77777777" w:rsidR="00453127" w:rsidRPr="00817EA6" w:rsidRDefault="00453127" w:rsidP="00453127">
      <w:pPr>
        <w:pStyle w:val="RepStandard"/>
      </w:pPr>
    </w:p>
    <w:p w14:paraId="5D0A3B55" w14:textId="77777777" w:rsidR="00453127" w:rsidRPr="00817EA6" w:rsidRDefault="00453127" w:rsidP="00453127">
      <w:pPr>
        <w:pStyle w:val="RepStandard"/>
      </w:pPr>
      <w:r w:rsidRPr="00817EA6">
        <w:t>M650F03 is not considered relevant and is further evaluated in Step 4.</w:t>
      </w:r>
    </w:p>
    <w:p w14:paraId="6376C5AA" w14:textId="77777777" w:rsidR="00453127" w:rsidRPr="00817EA6" w:rsidRDefault="00453127" w:rsidP="00453127">
      <w:pPr>
        <w:pStyle w:val="Nagwek3"/>
      </w:pPr>
      <w:bookmarkStart w:id="129" w:name="_Toc412025988"/>
      <w:bookmarkStart w:id="130" w:name="_Toc413754720"/>
      <w:bookmarkStart w:id="131" w:name="_Toc413755121"/>
      <w:bookmarkStart w:id="132" w:name="_Toc413755147"/>
      <w:bookmarkStart w:id="133" w:name="_Toc413755172"/>
      <w:bookmarkStart w:id="134" w:name="_Toc413941048"/>
      <w:bookmarkStart w:id="135" w:name="_Toc413943198"/>
      <w:bookmarkStart w:id="136" w:name="_Toc414542747"/>
      <w:bookmarkStart w:id="137" w:name="_Toc414544997"/>
      <w:bookmarkStart w:id="138" w:name="_Toc414545024"/>
      <w:bookmarkStart w:id="139" w:name="_Toc414608132"/>
      <w:bookmarkStart w:id="140" w:name="_Toc415230186"/>
      <w:bookmarkStart w:id="141" w:name="_Toc474145440"/>
      <w:bookmarkStart w:id="142" w:name="_Toc181622178"/>
      <w:r w:rsidRPr="00817EA6">
        <w:t>STEP 4: Exposure assessment – threshold of concern approach</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5E89EDE3" w14:textId="77777777" w:rsidR="00453127" w:rsidRPr="00817EA6" w:rsidRDefault="00453127" w:rsidP="00453127">
      <w:pPr>
        <w:pStyle w:val="RepStandard"/>
      </w:pPr>
      <w:r w:rsidRPr="00817EA6">
        <w:t>The potential exposure to M650F03 is &gt; 0.75 µg/L but &lt;10 µg/L. A further assessment in Step 5 is required.</w:t>
      </w:r>
    </w:p>
    <w:p w14:paraId="53204872" w14:textId="77777777" w:rsidR="00453127" w:rsidRPr="00817EA6" w:rsidRDefault="00453127" w:rsidP="00453127">
      <w:pPr>
        <w:pStyle w:val="Nagwek3"/>
      </w:pPr>
      <w:bookmarkStart w:id="143" w:name="_Toc412025989"/>
      <w:bookmarkStart w:id="144" w:name="_Toc413754721"/>
      <w:bookmarkStart w:id="145" w:name="_Toc413755122"/>
      <w:bookmarkStart w:id="146" w:name="_Toc413755148"/>
      <w:bookmarkStart w:id="147" w:name="_Toc413755173"/>
      <w:bookmarkStart w:id="148" w:name="_Toc413941049"/>
      <w:bookmarkStart w:id="149" w:name="_Toc413943199"/>
      <w:bookmarkStart w:id="150" w:name="_Toc414542748"/>
      <w:bookmarkStart w:id="151" w:name="_Toc414544998"/>
      <w:bookmarkStart w:id="152" w:name="_Toc414545025"/>
      <w:bookmarkStart w:id="153" w:name="_Toc414608133"/>
      <w:bookmarkStart w:id="154" w:name="_Toc415230187"/>
      <w:bookmarkStart w:id="155" w:name="_Toc474145441"/>
      <w:bookmarkStart w:id="156" w:name="_Toc181622179"/>
      <w:r w:rsidRPr="00817EA6">
        <w:t>STEP 5: Refined risk assessment</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188813CF" w14:textId="14F60593" w:rsidR="00453127" w:rsidRDefault="00453127" w:rsidP="00453127">
      <w:pPr>
        <w:pStyle w:val="RepStandard"/>
      </w:pPr>
      <w:r w:rsidRPr="00817EA6">
        <w:t>M650F03</w:t>
      </w:r>
      <w:r w:rsidRPr="00817EA6">
        <w:rPr>
          <w:color w:val="0000FF"/>
        </w:rPr>
        <w:t xml:space="preserve"> </w:t>
      </w:r>
      <w:r w:rsidRPr="00817EA6">
        <w:t>has a PEC</w:t>
      </w:r>
      <w:r w:rsidRPr="00817EA6">
        <w:rPr>
          <w:vertAlign w:val="subscript"/>
        </w:rPr>
        <w:t>GW</w:t>
      </w:r>
      <w:r w:rsidRPr="00817EA6">
        <w:t xml:space="preserve"> between 0.75 µg/L and 10 µg/L. A refined assessment of the potential toxicological significance </w:t>
      </w:r>
      <w:r w:rsidR="009438C3">
        <w:t xml:space="preserve">based on the </w:t>
      </w:r>
      <w:proofErr w:type="spellStart"/>
      <w:r w:rsidR="009438C3">
        <w:t>ametoctradin</w:t>
      </w:r>
      <w:proofErr w:type="spellEnd"/>
      <w:r w:rsidR="009438C3">
        <w:t xml:space="preserve"> ADI of 10 mg/kg </w:t>
      </w:r>
      <w:proofErr w:type="spellStart"/>
      <w:r w:rsidR="009438C3">
        <w:t>bw</w:t>
      </w:r>
      <w:proofErr w:type="spellEnd"/>
      <w:r w:rsidR="009438C3">
        <w:t>/day (as stated in the EFSA Conclusion 2012) is presented below and demonstrate</w:t>
      </w:r>
      <w:r w:rsidR="00E176DE">
        <w:t>s</w:t>
      </w:r>
      <w:r w:rsidR="009438C3">
        <w:t xml:space="preserve"> an acceptable risk</w:t>
      </w:r>
      <w:r w:rsidRPr="00817EA6">
        <w:t xml:space="preserve">. </w:t>
      </w:r>
    </w:p>
    <w:p w14:paraId="71D25D77" w14:textId="77777777" w:rsidR="005E35E6" w:rsidRDefault="005E35E6" w:rsidP="005E35E6">
      <w:pPr>
        <w:pStyle w:val="RepStandard"/>
      </w:pPr>
    </w:p>
    <w:p w14:paraId="4739071A" w14:textId="77777777" w:rsidR="005E35E6" w:rsidRDefault="005E35E6" w:rsidP="005E35E6">
      <w:pPr>
        <w:pStyle w:val="RepStandard"/>
      </w:pPr>
      <w:r w:rsidRPr="005E35E6">
        <w:t xml:space="preserve">The acceptable daily intake (ADI) of </w:t>
      </w:r>
      <w:proofErr w:type="spellStart"/>
      <w:r w:rsidRPr="005E35E6">
        <w:t>ametoctradin</w:t>
      </w:r>
      <w:proofErr w:type="spellEnd"/>
      <w:r w:rsidRPr="005E35E6">
        <w:t xml:space="preserve"> apply to the metabolite</w:t>
      </w:r>
      <w:r>
        <w:t xml:space="preserve"> </w:t>
      </w:r>
      <w:r w:rsidRPr="00817EA6">
        <w:t>M650F04</w:t>
      </w:r>
      <w:r>
        <w:t xml:space="preserve"> (according to EFSA Conclusion 2012).</w:t>
      </w:r>
    </w:p>
    <w:p w14:paraId="4A21ED76" w14:textId="77777777" w:rsidR="005828E0" w:rsidRDefault="005828E0" w:rsidP="005E35E6">
      <w:pPr>
        <w:pStyle w:val="RepStandard"/>
      </w:pPr>
    </w:p>
    <w:p w14:paraId="129FA1C9" w14:textId="74B31981" w:rsidR="005828E0" w:rsidRPr="00093F35" w:rsidRDefault="005828E0" w:rsidP="00093F35">
      <w:pPr>
        <w:pStyle w:val="RepStandard"/>
        <w:shd w:val="clear" w:color="auto" w:fill="BDD6EE" w:themeFill="accent5" w:themeFillTint="66"/>
        <w:rPr>
          <w:lang w:val="en-GB"/>
        </w:rPr>
      </w:pPr>
      <w:r w:rsidRPr="00093F35">
        <w:rPr>
          <w:lang w:val="en-GB"/>
        </w:rPr>
        <w:t>Based on NL comment received during commenting period for this dossier, parent equivalent concentration should be used to account for the differences in molecular weight between parent and metabolite.</w:t>
      </w:r>
    </w:p>
    <w:p w14:paraId="664EBBD1" w14:textId="77777777" w:rsidR="005828E0" w:rsidRPr="00093F35" w:rsidRDefault="005828E0" w:rsidP="00093F35">
      <w:pPr>
        <w:pStyle w:val="RepStandard"/>
        <w:shd w:val="clear" w:color="auto" w:fill="BDD6EE" w:themeFill="accent5" w:themeFillTint="66"/>
        <w:rPr>
          <w:lang w:val="en-GB"/>
        </w:rPr>
      </w:pPr>
      <w:r w:rsidRPr="00093F35">
        <w:rPr>
          <w:lang w:val="en-GB"/>
        </w:rPr>
        <w:t xml:space="preserve">Parent equivalent concentration is calculated as follows: </w:t>
      </w:r>
    </w:p>
    <w:p w14:paraId="3F3E469D" w14:textId="75882241" w:rsidR="005828E0" w:rsidRPr="00093F35" w:rsidRDefault="005828E0" w:rsidP="00093F35">
      <w:pPr>
        <w:pStyle w:val="RepStandard"/>
        <w:shd w:val="clear" w:color="auto" w:fill="BDD6EE" w:themeFill="accent5" w:themeFillTint="66"/>
        <w:rPr>
          <w:lang w:val="en-GB"/>
        </w:rPr>
      </w:pPr>
      <w:r w:rsidRPr="00093F35">
        <w:rPr>
          <w:lang w:val="en-GB"/>
        </w:rPr>
        <w:t xml:space="preserve">predicted max. </w:t>
      </w:r>
      <w:proofErr w:type="spellStart"/>
      <w:r w:rsidRPr="00093F35">
        <w:rPr>
          <w:lang w:val="en-GB"/>
        </w:rPr>
        <w:t>conc</w:t>
      </w:r>
      <w:proofErr w:type="spellEnd"/>
      <w:r w:rsidRPr="00093F35">
        <w:rPr>
          <w:lang w:val="en-GB"/>
        </w:rPr>
        <w:t xml:space="preserve"> metabolite / mol. weight parent x mol. weight metabolite</w:t>
      </w:r>
    </w:p>
    <w:p w14:paraId="37BE0814" w14:textId="2141533B" w:rsidR="005828E0" w:rsidRPr="00093F35" w:rsidRDefault="005828E0" w:rsidP="00093F35">
      <w:pPr>
        <w:pStyle w:val="RepStandard"/>
        <w:shd w:val="clear" w:color="auto" w:fill="BDD6EE" w:themeFill="accent5" w:themeFillTint="66"/>
        <w:rPr>
          <w:lang w:val="en-GB"/>
        </w:rPr>
      </w:pPr>
      <w:r w:rsidRPr="00093F35">
        <w:rPr>
          <w:lang w:val="en-GB"/>
        </w:rPr>
        <w:t>For metabolite M650F03 this would lead to a parent equivalent concentration of 4.307/220.87 x 275.39 = 5.4 µg/L</w:t>
      </w:r>
    </w:p>
    <w:p w14:paraId="376CB03C" w14:textId="77777777" w:rsidR="00453127" w:rsidRPr="00817EA6" w:rsidRDefault="00453127" w:rsidP="00453127">
      <w:pPr>
        <w:pStyle w:val="RepStandard"/>
      </w:pPr>
    </w:p>
    <w:p w14:paraId="764C38E5" w14:textId="77777777" w:rsidR="009438C3" w:rsidRPr="00CA781B" w:rsidRDefault="009438C3" w:rsidP="009438C3">
      <w:pPr>
        <w:pStyle w:val="RepStandard"/>
        <w:rPr>
          <w:b/>
        </w:rPr>
      </w:pPr>
      <w:r w:rsidRPr="00CA781B">
        <w:rPr>
          <w:b/>
        </w:rPr>
        <w:lastRenderedPageBreak/>
        <w:t xml:space="preserve">Calculation of risk (% ADI) for 5-kg bottle-fed infant (consuming 0.75 l/day): </w:t>
      </w:r>
    </w:p>
    <w:p w14:paraId="652F90BE" w14:textId="1F9898E7" w:rsidR="009438C3" w:rsidRPr="0058421F" w:rsidRDefault="009438C3" w:rsidP="009438C3">
      <w:pPr>
        <w:pStyle w:val="NormalDossier"/>
        <w:suppressAutoHyphens/>
        <w:jc w:val="both"/>
        <w:rPr>
          <w:sz w:val="22"/>
          <w:szCs w:val="22"/>
        </w:rPr>
      </w:pPr>
      <w:r w:rsidRPr="00A37815">
        <w:rPr>
          <w:sz w:val="22"/>
          <w:szCs w:val="22"/>
        </w:rPr>
        <w:t xml:space="preserve">The predicted </w:t>
      </w:r>
      <w:r w:rsidRPr="0058421F">
        <w:rPr>
          <w:sz w:val="22"/>
          <w:szCs w:val="22"/>
        </w:rPr>
        <w:t xml:space="preserve">maximum level of </w:t>
      </w:r>
      <w:r>
        <w:rPr>
          <w:sz w:val="22"/>
          <w:szCs w:val="22"/>
        </w:rPr>
        <w:t>M650F03</w:t>
      </w:r>
      <w:r w:rsidRPr="0058421F">
        <w:rPr>
          <w:sz w:val="22"/>
          <w:szCs w:val="22"/>
        </w:rPr>
        <w:t xml:space="preserve"> in groundwater is </w:t>
      </w:r>
      <w:r w:rsidRPr="00F1453A">
        <w:rPr>
          <w:strike/>
          <w:color w:val="7F7F7F" w:themeColor="text1" w:themeTint="80"/>
          <w:sz w:val="22"/>
          <w:szCs w:val="22"/>
        </w:rPr>
        <w:t>4.493</w:t>
      </w:r>
      <w:r w:rsidRPr="00F1453A">
        <w:rPr>
          <w:color w:val="7F7F7F" w:themeColor="text1" w:themeTint="80"/>
          <w:sz w:val="22"/>
          <w:szCs w:val="22"/>
        </w:rPr>
        <w:t xml:space="preserve"> </w:t>
      </w:r>
      <w:r w:rsidR="005828E0" w:rsidRPr="00093F35">
        <w:rPr>
          <w:sz w:val="22"/>
          <w:szCs w:val="22"/>
          <w:shd w:val="clear" w:color="auto" w:fill="BDD6EE" w:themeFill="accent5" w:themeFillTint="66"/>
        </w:rPr>
        <w:t>5.4</w:t>
      </w:r>
      <w:r w:rsidR="00F1453A" w:rsidRPr="00093F35">
        <w:rPr>
          <w:sz w:val="22"/>
          <w:szCs w:val="22"/>
        </w:rPr>
        <w:t xml:space="preserve"> </w:t>
      </w:r>
      <w:r w:rsidR="00F1453A" w:rsidRPr="0058421F">
        <w:rPr>
          <w:sz w:val="22"/>
          <w:szCs w:val="22"/>
        </w:rPr>
        <w:t>µg/L</w:t>
      </w:r>
      <w:r w:rsidRPr="0058421F">
        <w:rPr>
          <w:sz w:val="22"/>
          <w:szCs w:val="22"/>
        </w:rPr>
        <w:t xml:space="preserve">. Therefore, the potential intake of </w:t>
      </w:r>
      <w:r>
        <w:rPr>
          <w:sz w:val="22"/>
          <w:szCs w:val="22"/>
        </w:rPr>
        <w:t xml:space="preserve">M650F03 </w:t>
      </w:r>
      <w:r w:rsidRPr="0058421F">
        <w:rPr>
          <w:sz w:val="22"/>
          <w:szCs w:val="22"/>
        </w:rPr>
        <w:t xml:space="preserve">is </w:t>
      </w:r>
      <w:r w:rsidRPr="00C836DC">
        <w:rPr>
          <w:strike/>
          <w:color w:val="7F7F7F" w:themeColor="text1" w:themeTint="80"/>
          <w:sz w:val="22"/>
          <w:szCs w:val="22"/>
        </w:rPr>
        <w:t>0.67</w:t>
      </w:r>
      <w:r w:rsidRPr="00C836DC">
        <w:rPr>
          <w:color w:val="7F7F7F" w:themeColor="text1" w:themeTint="80"/>
          <w:sz w:val="22"/>
          <w:szCs w:val="22"/>
        </w:rPr>
        <w:t xml:space="preserve"> </w:t>
      </w:r>
      <w:r w:rsidR="005828E0" w:rsidRPr="00093F35">
        <w:rPr>
          <w:sz w:val="22"/>
          <w:szCs w:val="22"/>
          <w:shd w:val="clear" w:color="auto" w:fill="BDD6EE" w:themeFill="accent5" w:themeFillTint="66"/>
        </w:rPr>
        <w:t>0.81</w:t>
      </w:r>
      <w:r w:rsidR="00EC628D" w:rsidRPr="00093F3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Pr="00F1453A">
        <w:rPr>
          <w:strike/>
          <w:color w:val="7F7F7F" w:themeColor="text1" w:themeTint="80"/>
          <w:sz w:val="22"/>
          <w:szCs w:val="22"/>
        </w:rPr>
        <w:t>4.493</w:t>
      </w:r>
      <w:r w:rsidRPr="00F1453A">
        <w:rPr>
          <w:color w:val="7F7F7F" w:themeColor="text1" w:themeTint="80"/>
          <w:sz w:val="22"/>
          <w:szCs w:val="22"/>
        </w:rPr>
        <w:t xml:space="preserve"> </w:t>
      </w:r>
      <w:r w:rsidR="005828E0" w:rsidRPr="00093F35">
        <w:rPr>
          <w:sz w:val="22"/>
          <w:szCs w:val="22"/>
          <w:shd w:val="clear" w:color="auto" w:fill="BDD6EE" w:themeFill="accent5" w:themeFillTint="66"/>
        </w:rPr>
        <w:t>5.4</w:t>
      </w:r>
      <w:r w:rsidR="005828E0" w:rsidRPr="00093F35">
        <w:rPr>
          <w:sz w:val="22"/>
          <w:szCs w:val="22"/>
        </w:rPr>
        <w:t xml:space="preserve"> </w:t>
      </w:r>
      <w:r w:rsidRPr="0058421F">
        <w:rPr>
          <w:sz w:val="22"/>
          <w:szCs w:val="22"/>
        </w:rPr>
        <w:t>x 0.75 / 5).</w:t>
      </w:r>
      <w:r>
        <w:rPr>
          <w:sz w:val="22"/>
          <w:szCs w:val="22"/>
        </w:rPr>
        <w:t xml:space="preserve"> </w:t>
      </w:r>
      <w:r w:rsidRPr="0058421F">
        <w:rPr>
          <w:sz w:val="22"/>
          <w:szCs w:val="22"/>
        </w:rPr>
        <w:t xml:space="preserve"> This represents </w:t>
      </w:r>
      <w:r w:rsidRPr="00C836DC">
        <w:rPr>
          <w:strike/>
          <w:color w:val="7F7F7F" w:themeColor="text1" w:themeTint="80"/>
          <w:sz w:val="22"/>
          <w:szCs w:val="22"/>
        </w:rPr>
        <w:t>0.0067</w:t>
      </w:r>
      <w:r w:rsidR="00C836DC">
        <w:rPr>
          <w:sz w:val="22"/>
          <w:szCs w:val="22"/>
        </w:rPr>
        <w:t xml:space="preserve"> </w:t>
      </w:r>
      <w:r w:rsidR="00C836DC" w:rsidRPr="00093F35">
        <w:rPr>
          <w:sz w:val="22"/>
          <w:szCs w:val="22"/>
          <w:shd w:val="clear" w:color="auto" w:fill="BDD6EE" w:themeFill="accent5" w:themeFillTint="66"/>
        </w:rPr>
        <w:t>0.00</w:t>
      </w:r>
      <w:r w:rsidR="00460EF2" w:rsidRPr="00093F35">
        <w:rPr>
          <w:sz w:val="22"/>
          <w:szCs w:val="22"/>
          <w:shd w:val="clear" w:color="auto" w:fill="BDD6EE" w:themeFill="accent5" w:themeFillTint="66"/>
        </w:rPr>
        <w:t>81</w:t>
      </w:r>
      <w:r w:rsidRPr="0058421F">
        <w:rPr>
          <w:sz w:val="22"/>
          <w:szCs w:val="22"/>
        </w:rPr>
        <w:t xml:space="preserve">% of the </w:t>
      </w:r>
      <w:proofErr w:type="spellStart"/>
      <w:r>
        <w:rPr>
          <w:sz w:val="22"/>
          <w:szCs w:val="22"/>
        </w:rPr>
        <w:t>ametoctradin</w:t>
      </w:r>
      <w:proofErr w:type="spellEnd"/>
      <w:r w:rsidRPr="0058421F">
        <w:rPr>
          <w:sz w:val="22"/>
          <w:szCs w:val="22"/>
        </w:rPr>
        <w:t xml:space="preserve"> ADI (</w:t>
      </w:r>
      <w:r>
        <w:rPr>
          <w:sz w:val="22"/>
          <w:szCs w:val="22"/>
        </w:rPr>
        <w:t>10</w:t>
      </w:r>
      <w:r w:rsidRPr="0058421F">
        <w:rPr>
          <w:sz w:val="22"/>
          <w:szCs w:val="22"/>
        </w:rPr>
        <w:t xml:space="preserve"> mg/kg </w:t>
      </w:r>
      <w:proofErr w:type="spellStart"/>
      <w:r w:rsidRPr="0058421F">
        <w:rPr>
          <w:sz w:val="22"/>
          <w:szCs w:val="22"/>
        </w:rPr>
        <w:t>bw</w:t>
      </w:r>
      <w:proofErr w:type="spellEnd"/>
      <w:r w:rsidRPr="0058421F">
        <w:rPr>
          <w:sz w:val="22"/>
          <w:szCs w:val="22"/>
        </w:rPr>
        <w:t xml:space="preserve">/day) and will have a negligible impact on the TMDI of </w:t>
      </w:r>
      <w:proofErr w:type="spellStart"/>
      <w:r>
        <w:rPr>
          <w:sz w:val="22"/>
          <w:szCs w:val="22"/>
        </w:rPr>
        <w:t>ametoctradin</w:t>
      </w:r>
      <w:proofErr w:type="spellEnd"/>
      <w:r>
        <w:rPr>
          <w:sz w:val="22"/>
          <w:szCs w:val="22"/>
        </w:rPr>
        <w:t xml:space="preserve"> </w:t>
      </w:r>
      <w:r w:rsidRPr="0058421F">
        <w:rPr>
          <w:sz w:val="22"/>
          <w:szCs w:val="22"/>
        </w:rPr>
        <w:t>and its metabolites.</w:t>
      </w:r>
    </w:p>
    <w:p w14:paraId="6CD0A40F" w14:textId="77777777" w:rsidR="009438C3" w:rsidRPr="0058421F" w:rsidRDefault="009438C3" w:rsidP="009438C3">
      <w:pPr>
        <w:pStyle w:val="RepStandard"/>
      </w:pPr>
    </w:p>
    <w:p w14:paraId="1B32C7E4" w14:textId="77777777" w:rsidR="009438C3" w:rsidRPr="0058421F" w:rsidRDefault="009438C3" w:rsidP="009438C3">
      <w:pPr>
        <w:pStyle w:val="RepStandard"/>
        <w:rPr>
          <w:b/>
        </w:rPr>
      </w:pPr>
      <w:r w:rsidRPr="0058421F">
        <w:rPr>
          <w:b/>
        </w:rPr>
        <w:t xml:space="preserve">Calculation of risk (% ADI) for 10-kg child (consuming 1.0 l/day):  </w:t>
      </w:r>
    </w:p>
    <w:p w14:paraId="062B33CC" w14:textId="4CE8088C" w:rsidR="009438C3" w:rsidRPr="0058421F" w:rsidRDefault="009438C3" w:rsidP="009438C3">
      <w:pPr>
        <w:pStyle w:val="NormalDossier"/>
        <w:suppressAutoHyphens/>
        <w:jc w:val="both"/>
        <w:rPr>
          <w:sz w:val="22"/>
          <w:szCs w:val="22"/>
        </w:rPr>
      </w:pPr>
      <w:r w:rsidRPr="0058421F">
        <w:rPr>
          <w:sz w:val="22"/>
          <w:szCs w:val="22"/>
        </w:rPr>
        <w:t xml:space="preserve">The predicted maximum level of </w:t>
      </w:r>
      <w:r>
        <w:rPr>
          <w:sz w:val="22"/>
          <w:szCs w:val="22"/>
        </w:rPr>
        <w:t xml:space="preserve">M650F03 </w:t>
      </w:r>
      <w:r w:rsidRPr="0058421F">
        <w:rPr>
          <w:sz w:val="22"/>
          <w:szCs w:val="22"/>
        </w:rPr>
        <w:t xml:space="preserve">in groundwater is </w:t>
      </w:r>
      <w:r w:rsidRPr="00401449">
        <w:rPr>
          <w:strike/>
          <w:color w:val="7F7F7F" w:themeColor="text1" w:themeTint="80"/>
          <w:sz w:val="22"/>
          <w:szCs w:val="22"/>
        </w:rPr>
        <w:t>4.493</w:t>
      </w:r>
      <w:r w:rsidRPr="00401449">
        <w:rPr>
          <w:color w:val="7F7F7F" w:themeColor="text1" w:themeTint="80"/>
          <w:sz w:val="22"/>
          <w:szCs w:val="22"/>
        </w:rPr>
        <w:t xml:space="preserve"> </w:t>
      </w:r>
      <w:r w:rsidR="005828E0" w:rsidRPr="00093F35">
        <w:rPr>
          <w:sz w:val="22"/>
          <w:szCs w:val="22"/>
          <w:shd w:val="clear" w:color="auto" w:fill="BDD6EE" w:themeFill="accent5" w:themeFillTint="66"/>
        </w:rPr>
        <w:t>5.4</w:t>
      </w:r>
      <w:r w:rsidR="005828E0" w:rsidRPr="00093F35">
        <w:rPr>
          <w:sz w:val="22"/>
          <w:szCs w:val="22"/>
        </w:rPr>
        <w:t xml:space="preserve"> </w:t>
      </w:r>
      <w:r w:rsidRPr="0058421F">
        <w:rPr>
          <w:sz w:val="22"/>
          <w:szCs w:val="22"/>
        </w:rPr>
        <w:t>µg/L.</w:t>
      </w:r>
      <w:r>
        <w:rPr>
          <w:sz w:val="22"/>
          <w:szCs w:val="22"/>
        </w:rPr>
        <w:t xml:space="preserve"> </w:t>
      </w:r>
      <w:r w:rsidRPr="0058421F">
        <w:rPr>
          <w:sz w:val="22"/>
          <w:szCs w:val="22"/>
        </w:rPr>
        <w:t xml:space="preserve"> Therefore, the potential intake of </w:t>
      </w:r>
      <w:r>
        <w:rPr>
          <w:sz w:val="22"/>
          <w:szCs w:val="22"/>
        </w:rPr>
        <w:t xml:space="preserve">M650F03 </w:t>
      </w:r>
      <w:r w:rsidRPr="0058421F">
        <w:rPr>
          <w:sz w:val="22"/>
          <w:szCs w:val="22"/>
        </w:rPr>
        <w:t xml:space="preserve">is </w:t>
      </w:r>
      <w:r w:rsidRPr="00C836DC">
        <w:rPr>
          <w:strike/>
          <w:color w:val="7F7F7F" w:themeColor="text1" w:themeTint="80"/>
          <w:sz w:val="22"/>
          <w:szCs w:val="22"/>
        </w:rPr>
        <w:t>0.45</w:t>
      </w:r>
      <w:r w:rsidRPr="00C836DC">
        <w:rPr>
          <w:color w:val="7F7F7F" w:themeColor="text1" w:themeTint="80"/>
          <w:sz w:val="22"/>
          <w:szCs w:val="22"/>
        </w:rPr>
        <w:t xml:space="preserve"> </w:t>
      </w:r>
      <w:r w:rsidR="00C836DC" w:rsidRPr="00093F35">
        <w:rPr>
          <w:sz w:val="22"/>
          <w:szCs w:val="22"/>
          <w:shd w:val="clear" w:color="auto" w:fill="BDD6EE" w:themeFill="accent5" w:themeFillTint="66"/>
        </w:rPr>
        <w:t>0.</w:t>
      </w:r>
      <w:r w:rsidR="005828E0" w:rsidRPr="00093F35">
        <w:rPr>
          <w:sz w:val="22"/>
          <w:szCs w:val="22"/>
          <w:shd w:val="clear" w:color="auto" w:fill="BDD6EE" w:themeFill="accent5" w:themeFillTint="66"/>
        </w:rPr>
        <w:t>54</w:t>
      </w:r>
      <w:r w:rsidR="00C836DC" w:rsidRPr="00093F3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Pr="00401449">
        <w:rPr>
          <w:strike/>
          <w:color w:val="7F7F7F" w:themeColor="text1" w:themeTint="80"/>
          <w:sz w:val="22"/>
          <w:szCs w:val="22"/>
        </w:rPr>
        <w:t>4.493</w:t>
      </w:r>
      <w:r w:rsidRPr="00401449">
        <w:rPr>
          <w:color w:val="7F7F7F" w:themeColor="text1" w:themeTint="80"/>
          <w:sz w:val="22"/>
          <w:szCs w:val="22"/>
        </w:rPr>
        <w:t xml:space="preserve"> </w:t>
      </w:r>
      <w:r w:rsidR="005828E0" w:rsidRPr="00093F35">
        <w:rPr>
          <w:sz w:val="22"/>
          <w:szCs w:val="22"/>
          <w:shd w:val="clear" w:color="auto" w:fill="BDD6EE" w:themeFill="accent5" w:themeFillTint="66"/>
        </w:rPr>
        <w:t>5.4</w:t>
      </w:r>
      <w:r w:rsidR="005828E0" w:rsidRPr="00093F35">
        <w:rPr>
          <w:sz w:val="22"/>
          <w:szCs w:val="22"/>
        </w:rPr>
        <w:t xml:space="preserve"> </w:t>
      </w:r>
      <w:r w:rsidRPr="0058421F">
        <w:rPr>
          <w:sz w:val="22"/>
          <w:szCs w:val="22"/>
        </w:rPr>
        <w:t xml:space="preserve">x 1 / 10). </w:t>
      </w:r>
      <w:r>
        <w:rPr>
          <w:sz w:val="22"/>
          <w:szCs w:val="22"/>
        </w:rPr>
        <w:t xml:space="preserve"> </w:t>
      </w:r>
      <w:r w:rsidRPr="0058421F">
        <w:rPr>
          <w:sz w:val="22"/>
          <w:szCs w:val="22"/>
        </w:rPr>
        <w:t xml:space="preserve">This represents </w:t>
      </w:r>
      <w:r w:rsidRPr="00C836DC">
        <w:rPr>
          <w:strike/>
          <w:color w:val="7F7F7F" w:themeColor="text1" w:themeTint="80"/>
          <w:sz w:val="22"/>
          <w:szCs w:val="22"/>
        </w:rPr>
        <w:t>0.0045</w:t>
      </w:r>
      <w:r w:rsidR="00C836DC" w:rsidRPr="00C836DC">
        <w:rPr>
          <w:color w:val="7F7F7F" w:themeColor="text1" w:themeTint="80"/>
          <w:sz w:val="22"/>
          <w:szCs w:val="22"/>
        </w:rPr>
        <w:t xml:space="preserve"> </w:t>
      </w:r>
      <w:r w:rsidR="00C836DC" w:rsidRPr="00093F35">
        <w:rPr>
          <w:sz w:val="22"/>
          <w:szCs w:val="22"/>
          <w:shd w:val="clear" w:color="auto" w:fill="BDD6EE" w:themeFill="accent5" w:themeFillTint="66"/>
        </w:rPr>
        <w:t>0.00</w:t>
      </w:r>
      <w:r w:rsidR="00460EF2" w:rsidRPr="00093F35">
        <w:rPr>
          <w:sz w:val="22"/>
          <w:szCs w:val="22"/>
          <w:shd w:val="clear" w:color="auto" w:fill="BDD6EE" w:themeFill="accent5" w:themeFillTint="66"/>
        </w:rPr>
        <w:t>54</w:t>
      </w:r>
      <w:r w:rsidRPr="0058421F">
        <w:rPr>
          <w:sz w:val="22"/>
          <w:szCs w:val="22"/>
        </w:rPr>
        <w:t xml:space="preserve">% of the </w:t>
      </w:r>
      <w:proofErr w:type="spellStart"/>
      <w:r>
        <w:rPr>
          <w:sz w:val="22"/>
          <w:szCs w:val="22"/>
        </w:rPr>
        <w:t>ametoctradin</w:t>
      </w:r>
      <w:proofErr w:type="spellEnd"/>
      <w:r>
        <w:rPr>
          <w:sz w:val="22"/>
          <w:szCs w:val="22"/>
        </w:rPr>
        <w:t xml:space="preserve"> </w:t>
      </w:r>
      <w:r w:rsidRPr="0058421F">
        <w:rPr>
          <w:sz w:val="22"/>
          <w:szCs w:val="22"/>
        </w:rPr>
        <w:t>ADI (</w:t>
      </w:r>
      <w:r>
        <w:rPr>
          <w:sz w:val="22"/>
          <w:szCs w:val="22"/>
        </w:rPr>
        <w:t>10</w:t>
      </w:r>
      <w:r w:rsidRPr="0058421F">
        <w:rPr>
          <w:sz w:val="22"/>
          <w:szCs w:val="22"/>
        </w:rPr>
        <w:t xml:space="preserve"> mg/kg </w:t>
      </w:r>
      <w:proofErr w:type="spellStart"/>
      <w:r w:rsidRPr="0058421F">
        <w:rPr>
          <w:sz w:val="22"/>
          <w:szCs w:val="22"/>
        </w:rPr>
        <w:t>bw</w:t>
      </w:r>
      <w:proofErr w:type="spellEnd"/>
      <w:r w:rsidRPr="0058421F">
        <w:rPr>
          <w:sz w:val="22"/>
          <w:szCs w:val="22"/>
        </w:rPr>
        <w:t xml:space="preserve">/day) and will have a negligible impact on the TMDI of </w:t>
      </w:r>
      <w:proofErr w:type="spellStart"/>
      <w:r>
        <w:rPr>
          <w:sz w:val="22"/>
          <w:szCs w:val="22"/>
        </w:rPr>
        <w:t>ametoctradin</w:t>
      </w:r>
      <w:proofErr w:type="spellEnd"/>
      <w:r w:rsidRPr="0058421F">
        <w:rPr>
          <w:sz w:val="22"/>
          <w:szCs w:val="22"/>
        </w:rPr>
        <w:t xml:space="preserve"> and its metabolites.</w:t>
      </w:r>
    </w:p>
    <w:p w14:paraId="426ED4E7" w14:textId="77777777" w:rsidR="009438C3" w:rsidRPr="0058421F" w:rsidRDefault="009438C3" w:rsidP="009438C3">
      <w:pPr>
        <w:pStyle w:val="RepStandard"/>
      </w:pPr>
    </w:p>
    <w:p w14:paraId="30EA79CF" w14:textId="77777777" w:rsidR="009438C3" w:rsidRPr="0058421F" w:rsidRDefault="009438C3" w:rsidP="009438C3">
      <w:pPr>
        <w:pStyle w:val="RepStandard"/>
        <w:rPr>
          <w:b/>
        </w:rPr>
      </w:pPr>
      <w:r w:rsidRPr="0058421F">
        <w:rPr>
          <w:b/>
        </w:rPr>
        <w:t xml:space="preserve">Calculation of risk (% ADI) for 60-kg adult (consuming 2.0 l/day): </w:t>
      </w:r>
    </w:p>
    <w:p w14:paraId="2E4FD683" w14:textId="2769C963" w:rsidR="009438C3" w:rsidRDefault="009438C3" w:rsidP="009438C3">
      <w:pPr>
        <w:pStyle w:val="NormalDossier"/>
        <w:suppressAutoHyphens/>
        <w:jc w:val="both"/>
        <w:rPr>
          <w:sz w:val="22"/>
          <w:szCs w:val="22"/>
        </w:rPr>
      </w:pPr>
      <w:r w:rsidRPr="0058421F">
        <w:rPr>
          <w:sz w:val="22"/>
          <w:szCs w:val="22"/>
        </w:rPr>
        <w:t xml:space="preserve">The predicted maximum level of </w:t>
      </w:r>
      <w:r w:rsidR="00B82675">
        <w:rPr>
          <w:sz w:val="22"/>
          <w:szCs w:val="22"/>
        </w:rPr>
        <w:t xml:space="preserve">M650F03 </w:t>
      </w:r>
      <w:r w:rsidRPr="0058421F">
        <w:rPr>
          <w:sz w:val="22"/>
          <w:szCs w:val="22"/>
        </w:rPr>
        <w:t xml:space="preserve">in groundwater is </w:t>
      </w:r>
      <w:r w:rsidRPr="00401449">
        <w:rPr>
          <w:strike/>
          <w:color w:val="7F7F7F" w:themeColor="text1" w:themeTint="80"/>
          <w:sz w:val="22"/>
          <w:szCs w:val="22"/>
        </w:rPr>
        <w:t>4.493</w:t>
      </w:r>
      <w:r w:rsidRPr="00401449">
        <w:rPr>
          <w:color w:val="7F7F7F" w:themeColor="text1" w:themeTint="80"/>
          <w:sz w:val="22"/>
          <w:szCs w:val="22"/>
        </w:rPr>
        <w:t xml:space="preserve"> </w:t>
      </w:r>
      <w:r w:rsidR="005828E0" w:rsidRPr="00093F35">
        <w:rPr>
          <w:sz w:val="22"/>
          <w:szCs w:val="22"/>
          <w:shd w:val="clear" w:color="auto" w:fill="BDD6EE" w:themeFill="accent5" w:themeFillTint="66"/>
        </w:rPr>
        <w:t>5.4</w:t>
      </w:r>
      <w:r w:rsidR="005828E0" w:rsidRPr="00093F35">
        <w:rPr>
          <w:sz w:val="22"/>
          <w:szCs w:val="22"/>
        </w:rPr>
        <w:t xml:space="preserve"> </w:t>
      </w:r>
      <w:r w:rsidRPr="0058421F">
        <w:rPr>
          <w:sz w:val="22"/>
          <w:szCs w:val="22"/>
        </w:rPr>
        <w:t xml:space="preserve">µg/L. </w:t>
      </w:r>
      <w:r>
        <w:rPr>
          <w:sz w:val="22"/>
          <w:szCs w:val="22"/>
        </w:rPr>
        <w:t xml:space="preserve"> </w:t>
      </w:r>
      <w:r w:rsidRPr="0058421F">
        <w:rPr>
          <w:sz w:val="22"/>
          <w:szCs w:val="22"/>
        </w:rPr>
        <w:t xml:space="preserve">Therefore, the potential intake of </w:t>
      </w:r>
      <w:r>
        <w:rPr>
          <w:sz w:val="22"/>
          <w:szCs w:val="22"/>
        </w:rPr>
        <w:t xml:space="preserve">M650F03 </w:t>
      </w:r>
      <w:r w:rsidRPr="0058421F">
        <w:rPr>
          <w:sz w:val="22"/>
          <w:szCs w:val="22"/>
        </w:rPr>
        <w:t xml:space="preserve">is </w:t>
      </w:r>
      <w:r w:rsidRPr="00C836DC">
        <w:rPr>
          <w:strike/>
          <w:color w:val="7F7F7F" w:themeColor="text1" w:themeTint="80"/>
          <w:sz w:val="22"/>
          <w:szCs w:val="22"/>
        </w:rPr>
        <w:t>0.15</w:t>
      </w:r>
      <w:r w:rsidR="00C836DC" w:rsidRPr="00C836DC">
        <w:rPr>
          <w:color w:val="7F7F7F" w:themeColor="text1" w:themeTint="80"/>
          <w:sz w:val="22"/>
          <w:szCs w:val="22"/>
        </w:rPr>
        <w:t xml:space="preserve"> </w:t>
      </w:r>
      <w:r w:rsidR="00C836DC" w:rsidRPr="00093F35">
        <w:rPr>
          <w:sz w:val="22"/>
          <w:szCs w:val="22"/>
          <w:shd w:val="clear" w:color="auto" w:fill="BDD6EE" w:themeFill="accent5" w:themeFillTint="66"/>
        </w:rPr>
        <w:t>0.1</w:t>
      </w:r>
      <w:r w:rsidR="005828E0" w:rsidRPr="00093F35">
        <w:rPr>
          <w:sz w:val="22"/>
          <w:szCs w:val="22"/>
          <w:shd w:val="clear" w:color="auto" w:fill="BDD6EE" w:themeFill="accent5" w:themeFillTint="66"/>
        </w:rPr>
        <w:t>8</w:t>
      </w:r>
      <w:r w:rsidRPr="00093F3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Pr="00401449">
        <w:rPr>
          <w:strike/>
          <w:color w:val="7F7F7F" w:themeColor="text1" w:themeTint="80"/>
          <w:sz w:val="22"/>
          <w:szCs w:val="22"/>
        </w:rPr>
        <w:t>4.493</w:t>
      </w:r>
      <w:r w:rsidRPr="00401449">
        <w:rPr>
          <w:color w:val="7F7F7F" w:themeColor="text1" w:themeTint="80"/>
          <w:sz w:val="22"/>
          <w:szCs w:val="22"/>
        </w:rPr>
        <w:t xml:space="preserve"> </w:t>
      </w:r>
      <w:r w:rsidR="005828E0" w:rsidRPr="00093F35">
        <w:rPr>
          <w:sz w:val="22"/>
          <w:szCs w:val="22"/>
          <w:shd w:val="clear" w:color="auto" w:fill="BDD6EE" w:themeFill="accent5" w:themeFillTint="66"/>
        </w:rPr>
        <w:t>5.4</w:t>
      </w:r>
      <w:r w:rsidR="005828E0" w:rsidRPr="00093F35">
        <w:rPr>
          <w:sz w:val="22"/>
          <w:szCs w:val="22"/>
        </w:rPr>
        <w:t xml:space="preserve"> </w:t>
      </w:r>
      <w:r w:rsidRPr="0058421F">
        <w:rPr>
          <w:sz w:val="22"/>
          <w:szCs w:val="22"/>
        </w:rPr>
        <w:t xml:space="preserve">x 2 / 60). </w:t>
      </w:r>
      <w:r>
        <w:rPr>
          <w:sz w:val="22"/>
          <w:szCs w:val="22"/>
        </w:rPr>
        <w:t xml:space="preserve"> </w:t>
      </w:r>
      <w:r w:rsidRPr="0058421F">
        <w:rPr>
          <w:sz w:val="22"/>
          <w:szCs w:val="22"/>
        </w:rPr>
        <w:t xml:space="preserve">This represents </w:t>
      </w:r>
      <w:r w:rsidRPr="00C836DC">
        <w:rPr>
          <w:strike/>
          <w:color w:val="7F7F7F" w:themeColor="text1" w:themeTint="80"/>
          <w:sz w:val="22"/>
          <w:szCs w:val="22"/>
        </w:rPr>
        <w:t>0.0015</w:t>
      </w:r>
      <w:r w:rsidR="00C836DC" w:rsidRPr="00C836DC">
        <w:rPr>
          <w:color w:val="7F7F7F" w:themeColor="text1" w:themeTint="80"/>
          <w:sz w:val="22"/>
          <w:szCs w:val="22"/>
        </w:rPr>
        <w:t xml:space="preserve"> </w:t>
      </w:r>
      <w:r w:rsidR="00C836DC" w:rsidRPr="00093F35">
        <w:rPr>
          <w:sz w:val="22"/>
          <w:szCs w:val="22"/>
          <w:shd w:val="clear" w:color="auto" w:fill="BDD6EE" w:themeFill="accent5" w:themeFillTint="66"/>
        </w:rPr>
        <w:t>0.001</w:t>
      </w:r>
      <w:r w:rsidR="00460EF2" w:rsidRPr="00093F35">
        <w:rPr>
          <w:sz w:val="22"/>
          <w:szCs w:val="22"/>
          <w:shd w:val="clear" w:color="auto" w:fill="BDD6EE" w:themeFill="accent5" w:themeFillTint="66"/>
        </w:rPr>
        <w:t>8</w:t>
      </w:r>
      <w:r w:rsidRPr="0058421F">
        <w:rPr>
          <w:sz w:val="22"/>
          <w:szCs w:val="22"/>
        </w:rPr>
        <w:t>%</w:t>
      </w:r>
      <w:r w:rsidRPr="00A37815">
        <w:rPr>
          <w:sz w:val="22"/>
          <w:szCs w:val="22"/>
        </w:rPr>
        <w:t xml:space="preserve"> of the </w:t>
      </w:r>
      <w:proofErr w:type="spellStart"/>
      <w:r>
        <w:rPr>
          <w:sz w:val="22"/>
          <w:szCs w:val="22"/>
        </w:rPr>
        <w:t>ametoctradin</w:t>
      </w:r>
      <w:proofErr w:type="spellEnd"/>
      <w:r>
        <w:rPr>
          <w:sz w:val="22"/>
          <w:szCs w:val="22"/>
        </w:rPr>
        <w:t xml:space="preserve"> </w:t>
      </w:r>
      <w:r w:rsidRPr="00A37815">
        <w:rPr>
          <w:sz w:val="22"/>
          <w:szCs w:val="22"/>
        </w:rPr>
        <w:t>ADI (</w:t>
      </w:r>
      <w:r w:rsidR="005A0035">
        <w:rPr>
          <w:sz w:val="22"/>
          <w:szCs w:val="22"/>
        </w:rPr>
        <w:t>10</w:t>
      </w:r>
      <w:r w:rsidRPr="00A37815">
        <w:rPr>
          <w:sz w:val="22"/>
          <w:szCs w:val="22"/>
        </w:rPr>
        <w:t xml:space="preserve"> mg/kg </w:t>
      </w:r>
      <w:proofErr w:type="spellStart"/>
      <w:r w:rsidRPr="00A37815">
        <w:rPr>
          <w:sz w:val="22"/>
          <w:szCs w:val="22"/>
        </w:rPr>
        <w:t>bw</w:t>
      </w:r>
      <w:proofErr w:type="spellEnd"/>
      <w:r w:rsidRPr="00A37815">
        <w:rPr>
          <w:sz w:val="22"/>
          <w:szCs w:val="22"/>
        </w:rPr>
        <w:t xml:space="preserve">/day) and will have a negligible impact on the TMDI of </w:t>
      </w:r>
      <w:proofErr w:type="spellStart"/>
      <w:r>
        <w:rPr>
          <w:sz w:val="22"/>
          <w:szCs w:val="22"/>
        </w:rPr>
        <w:t>ametoctradin</w:t>
      </w:r>
      <w:proofErr w:type="spellEnd"/>
      <w:r w:rsidRPr="00A37815">
        <w:rPr>
          <w:sz w:val="22"/>
          <w:szCs w:val="22"/>
        </w:rPr>
        <w:t xml:space="preserve"> and its metabolites.</w:t>
      </w:r>
    </w:p>
    <w:p w14:paraId="6247CC3F" w14:textId="77777777" w:rsidR="00A63356" w:rsidRPr="00093F35" w:rsidRDefault="00C836DC" w:rsidP="00093F35">
      <w:pPr>
        <w:pStyle w:val="NormalDossier"/>
        <w:shd w:val="clear" w:color="auto" w:fill="BDD6EE" w:themeFill="accent5" w:themeFillTint="66"/>
        <w:suppressAutoHyphens/>
        <w:jc w:val="both"/>
        <w:rPr>
          <w:bCs/>
          <w:sz w:val="22"/>
          <w:szCs w:val="22"/>
        </w:rPr>
      </w:pPr>
      <w:r w:rsidRPr="00093F35">
        <w:rPr>
          <w:sz w:val="22"/>
          <w:szCs w:val="22"/>
        </w:rPr>
        <w:t xml:space="preserve">Based on DE comment received during commenting period for this dossier: </w:t>
      </w:r>
      <w:r w:rsidR="00A63356" w:rsidRPr="00093F35">
        <w:rPr>
          <w:bCs/>
          <w:i/>
          <w:sz w:val="22"/>
          <w:szCs w:val="22"/>
        </w:rPr>
        <w:t xml:space="preserve">the current assessment </w:t>
      </w:r>
      <w:r w:rsidR="00A63356" w:rsidRPr="00093F35">
        <w:rPr>
          <w:i/>
          <w:sz w:val="22"/>
          <w:szCs w:val="22"/>
        </w:rPr>
        <w:t xml:space="preserve">at EU level (RAR April 2024) </w:t>
      </w:r>
      <w:r w:rsidR="00A63356" w:rsidRPr="00093F35">
        <w:rPr>
          <w:bCs/>
          <w:i/>
          <w:sz w:val="22"/>
          <w:szCs w:val="22"/>
        </w:rPr>
        <w:t xml:space="preserve">resulted in a lower </w:t>
      </w:r>
      <w:r w:rsidRPr="00093F35">
        <w:rPr>
          <w:bCs/>
          <w:i/>
          <w:sz w:val="22"/>
          <w:szCs w:val="22"/>
        </w:rPr>
        <w:t xml:space="preserve">ADI for </w:t>
      </w:r>
      <w:proofErr w:type="spellStart"/>
      <w:r w:rsidRPr="00093F35">
        <w:rPr>
          <w:bCs/>
          <w:i/>
          <w:sz w:val="22"/>
          <w:szCs w:val="22"/>
        </w:rPr>
        <w:t>ametoctradin</w:t>
      </w:r>
      <w:proofErr w:type="spellEnd"/>
      <w:r w:rsidRPr="00093F35">
        <w:rPr>
          <w:bCs/>
          <w:i/>
          <w:sz w:val="22"/>
          <w:szCs w:val="22"/>
        </w:rPr>
        <w:t xml:space="preserve"> of 0.7 mg/kg </w:t>
      </w:r>
      <w:proofErr w:type="spellStart"/>
      <w:r w:rsidRPr="00093F35">
        <w:rPr>
          <w:bCs/>
          <w:i/>
          <w:sz w:val="22"/>
          <w:szCs w:val="22"/>
        </w:rPr>
        <w:t>bw</w:t>
      </w:r>
      <w:proofErr w:type="spellEnd"/>
      <w:r w:rsidRPr="00093F35">
        <w:rPr>
          <w:bCs/>
          <w:i/>
          <w:sz w:val="22"/>
          <w:szCs w:val="22"/>
        </w:rPr>
        <w:t>/d</w:t>
      </w:r>
      <w:r w:rsidR="00A63356" w:rsidRPr="00093F35">
        <w:rPr>
          <w:bCs/>
          <w:i/>
          <w:sz w:val="22"/>
          <w:szCs w:val="22"/>
        </w:rPr>
        <w:t>,</w:t>
      </w:r>
      <w:r w:rsidRPr="00093F35">
        <w:rPr>
          <w:i/>
          <w:sz w:val="22"/>
          <w:szCs w:val="22"/>
        </w:rPr>
        <w:t xml:space="preserve"> </w:t>
      </w:r>
      <w:r w:rsidRPr="00093F35">
        <w:rPr>
          <w:bCs/>
          <w:i/>
          <w:sz w:val="22"/>
          <w:szCs w:val="22"/>
        </w:rPr>
        <w:t>which could be considered here</w:t>
      </w:r>
      <w:r w:rsidR="00A63356" w:rsidRPr="00093F35">
        <w:rPr>
          <w:bCs/>
          <w:sz w:val="22"/>
          <w:szCs w:val="22"/>
        </w:rPr>
        <w:t xml:space="preserve">. </w:t>
      </w:r>
    </w:p>
    <w:p w14:paraId="6E2BA01F" w14:textId="3789DBD9" w:rsidR="00C836DC" w:rsidRPr="00093F35" w:rsidRDefault="00D835EB" w:rsidP="00093F35">
      <w:pPr>
        <w:pStyle w:val="NormalDossier"/>
        <w:shd w:val="clear" w:color="auto" w:fill="BDD6EE" w:themeFill="accent5" w:themeFillTint="66"/>
        <w:suppressAutoHyphens/>
        <w:jc w:val="both"/>
        <w:rPr>
          <w:sz w:val="22"/>
          <w:szCs w:val="22"/>
          <w:lang w:val="en-US"/>
        </w:rPr>
      </w:pPr>
      <w:r w:rsidRPr="00093F35">
        <w:rPr>
          <w:bCs/>
          <w:sz w:val="22"/>
          <w:szCs w:val="22"/>
        </w:rPr>
        <w:t>Considering the</w:t>
      </w:r>
      <w:r w:rsidR="00A63356" w:rsidRPr="00093F35">
        <w:rPr>
          <w:bCs/>
          <w:sz w:val="22"/>
          <w:szCs w:val="22"/>
        </w:rPr>
        <w:t xml:space="preserve"> ADI of 0.7</w:t>
      </w:r>
      <w:r w:rsidR="00460EF2" w:rsidRPr="00093F35">
        <w:rPr>
          <w:bCs/>
          <w:sz w:val="22"/>
          <w:szCs w:val="22"/>
        </w:rPr>
        <w:t xml:space="preserve"> </w:t>
      </w:r>
      <w:r w:rsidR="00A63356" w:rsidRPr="00093F35">
        <w:rPr>
          <w:bCs/>
          <w:sz w:val="22"/>
          <w:szCs w:val="22"/>
        </w:rPr>
        <w:t xml:space="preserve">mg/kg </w:t>
      </w:r>
      <w:proofErr w:type="spellStart"/>
      <w:r w:rsidR="00A63356" w:rsidRPr="00093F35">
        <w:rPr>
          <w:bCs/>
          <w:sz w:val="22"/>
          <w:szCs w:val="22"/>
        </w:rPr>
        <w:t>bw</w:t>
      </w:r>
      <w:proofErr w:type="spellEnd"/>
      <w:r w:rsidR="00A63356" w:rsidRPr="00093F35">
        <w:rPr>
          <w:bCs/>
          <w:sz w:val="22"/>
          <w:szCs w:val="22"/>
        </w:rPr>
        <w:t>/d the consumer risk assessment still demonstrates an acceptable risk</w:t>
      </w:r>
      <w:r w:rsidR="00064F95" w:rsidRPr="00093F35">
        <w:rPr>
          <w:bCs/>
          <w:sz w:val="22"/>
          <w:szCs w:val="22"/>
        </w:rPr>
        <w:t>, when</w:t>
      </w:r>
      <w:r w:rsidR="00A63356" w:rsidRPr="00093F35">
        <w:rPr>
          <w:sz w:val="22"/>
          <w:szCs w:val="22"/>
        </w:rPr>
        <w:t xml:space="preserve"> the potential intake of </w:t>
      </w:r>
      <w:r w:rsidR="00064F95" w:rsidRPr="00093F35">
        <w:rPr>
          <w:sz w:val="22"/>
          <w:szCs w:val="22"/>
        </w:rPr>
        <w:t xml:space="preserve">metabolite </w:t>
      </w:r>
      <w:r w:rsidR="00A63356" w:rsidRPr="00093F35">
        <w:rPr>
          <w:sz w:val="22"/>
          <w:szCs w:val="22"/>
        </w:rPr>
        <w:t>M650F03</w:t>
      </w:r>
      <w:r w:rsidR="00064F95" w:rsidRPr="00093F35">
        <w:rPr>
          <w:sz w:val="22"/>
          <w:szCs w:val="22"/>
        </w:rPr>
        <w:t xml:space="preserve"> </w:t>
      </w:r>
      <w:r w:rsidRPr="00093F35">
        <w:rPr>
          <w:bCs/>
          <w:sz w:val="22"/>
          <w:szCs w:val="22"/>
        </w:rPr>
        <w:t>is</w:t>
      </w:r>
      <w:r w:rsidR="00064F95" w:rsidRPr="00093F35">
        <w:rPr>
          <w:bCs/>
          <w:sz w:val="22"/>
          <w:szCs w:val="22"/>
        </w:rPr>
        <w:t xml:space="preserve"> 0.</w:t>
      </w:r>
      <w:r w:rsidR="00460EF2" w:rsidRPr="00093F35">
        <w:rPr>
          <w:bCs/>
          <w:sz w:val="22"/>
          <w:szCs w:val="22"/>
        </w:rPr>
        <w:t>12</w:t>
      </w:r>
      <w:r w:rsidR="00A63356" w:rsidRPr="00093F35">
        <w:rPr>
          <w:bCs/>
          <w:sz w:val="22"/>
          <w:szCs w:val="22"/>
        </w:rPr>
        <w:t xml:space="preserve"> % of ADI (infant), </w:t>
      </w:r>
      <w:r w:rsidR="00064F95" w:rsidRPr="00093F35">
        <w:rPr>
          <w:bCs/>
          <w:sz w:val="22"/>
          <w:szCs w:val="22"/>
        </w:rPr>
        <w:t>0.</w:t>
      </w:r>
      <w:r w:rsidR="00460EF2" w:rsidRPr="00093F35">
        <w:rPr>
          <w:bCs/>
          <w:sz w:val="22"/>
          <w:szCs w:val="22"/>
        </w:rPr>
        <w:t>08</w:t>
      </w:r>
      <w:r w:rsidR="00064F95" w:rsidRPr="00093F35">
        <w:rPr>
          <w:bCs/>
          <w:sz w:val="22"/>
          <w:szCs w:val="22"/>
        </w:rPr>
        <w:t xml:space="preserve"> % of ADI (child), 0.</w:t>
      </w:r>
      <w:r w:rsidR="00460EF2" w:rsidRPr="00093F35">
        <w:rPr>
          <w:bCs/>
          <w:sz w:val="22"/>
          <w:szCs w:val="22"/>
        </w:rPr>
        <w:t>03</w:t>
      </w:r>
      <w:r w:rsidR="00A63356" w:rsidRPr="00093F35">
        <w:rPr>
          <w:bCs/>
          <w:sz w:val="22"/>
          <w:szCs w:val="22"/>
        </w:rPr>
        <w:t xml:space="preserve"> % of ADI (adult).</w:t>
      </w:r>
    </w:p>
    <w:p w14:paraId="1AAAAA0B" w14:textId="77777777" w:rsidR="00C836DC" w:rsidRPr="00A37815" w:rsidRDefault="00C836DC" w:rsidP="009438C3">
      <w:pPr>
        <w:pStyle w:val="NormalDossier"/>
        <w:suppressAutoHyphens/>
        <w:jc w:val="both"/>
        <w:rPr>
          <w:sz w:val="22"/>
          <w:szCs w:val="22"/>
        </w:rPr>
      </w:pPr>
    </w:p>
    <w:p w14:paraId="078BA515" w14:textId="09D63835" w:rsidR="00504C0B" w:rsidRPr="00817EA6" w:rsidRDefault="00504C0B" w:rsidP="0020302E">
      <w:pPr>
        <w:pStyle w:val="Nagwek2"/>
      </w:pPr>
      <w:bookmarkStart w:id="157" w:name="_Toc412025991"/>
      <w:bookmarkStart w:id="158" w:name="_Toc413754722"/>
      <w:bookmarkStart w:id="159" w:name="_Toc413755123"/>
      <w:bookmarkStart w:id="160" w:name="_Toc413755149"/>
      <w:bookmarkStart w:id="161" w:name="_Toc413755174"/>
      <w:bookmarkStart w:id="162" w:name="_Toc413941050"/>
      <w:bookmarkStart w:id="163" w:name="_Toc413943200"/>
      <w:bookmarkStart w:id="164" w:name="_Toc414542749"/>
      <w:bookmarkStart w:id="165" w:name="_Toc414544999"/>
      <w:bookmarkStart w:id="166" w:name="_Toc414545026"/>
      <w:bookmarkStart w:id="167" w:name="_Toc414608134"/>
      <w:bookmarkStart w:id="168" w:name="_Toc415230188"/>
      <w:bookmarkStart w:id="169" w:name="_Ref420064107"/>
      <w:bookmarkStart w:id="170" w:name="_Toc181622180"/>
      <w:r w:rsidRPr="00817EA6">
        <w:t xml:space="preserve">Relevance assessment of </w:t>
      </w:r>
      <w:bookmarkEnd w:id="157"/>
      <w:bookmarkEnd w:id="158"/>
      <w:bookmarkEnd w:id="159"/>
      <w:bookmarkEnd w:id="160"/>
      <w:bookmarkEnd w:id="161"/>
      <w:bookmarkEnd w:id="162"/>
      <w:bookmarkEnd w:id="163"/>
      <w:bookmarkEnd w:id="164"/>
      <w:bookmarkEnd w:id="165"/>
      <w:bookmarkEnd w:id="166"/>
      <w:bookmarkEnd w:id="167"/>
      <w:bookmarkEnd w:id="168"/>
      <w:bookmarkEnd w:id="169"/>
      <w:r w:rsidR="00453127" w:rsidRPr="00817EA6">
        <w:t>M650F04</w:t>
      </w:r>
      <w:bookmarkEnd w:id="170"/>
    </w:p>
    <w:p w14:paraId="7D976774" w14:textId="77777777" w:rsidR="00453127" w:rsidRPr="00817EA6" w:rsidRDefault="00453127" w:rsidP="00453127">
      <w:pPr>
        <w:pStyle w:val="RepNewPart"/>
      </w:pPr>
      <w:r w:rsidRPr="00817EA6">
        <w:t>Summary:</w:t>
      </w:r>
    </w:p>
    <w:p w14:paraId="3468B930" w14:textId="04B26E73" w:rsidR="00453127" w:rsidRPr="00817EA6" w:rsidRDefault="00453127" w:rsidP="00453127">
      <w:pPr>
        <w:pStyle w:val="RepStandard"/>
      </w:pPr>
      <w:r w:rsidRPr="00817EA6">
        <w:t xml:space="preserve">The relevance of the groundwater metabolite M650F04 has already been assessed and the assessment agreed at EU level (see DAR of December 2010 and EFSA conclusion 2012), and the relevance assessment is applicable as well for the GAP and groundwater scenarios considered in this </w:t>
      </w:r>
      <w:proofErr w:type="spellStart"/>
      <w:r w:rsidRPr="00817EA6">
        <w:t>dRR</w:t>
      </w:r>
      <w:proofErr w:type="spellEnd"/>
      <w:r w:rsidRPr="00817EA6">
        <w:t xml:space="preserve"> (</w:t>
      </w:r>
      <w:r w:rsidRPr="00817EA6">
        <w:rPr>
          <w:i/>
          <w:iCs/>
        </w:rPr>
        <w:t>i.e</w:t>
      </w:r>
      <w:r w:rsidRPr="00817EA6">
        <w:t>., the conclusions reached at Step 4 and 5 of the relevance assessment made at the EU-level are valid also with regard to the PEC</w:t>
      </w:r>
      <w:r w:rsidRPr="00817EA6">
        <w:rPr>
          <w:sz w:val="24"/>
          <w:szCs w:val="24"/>
          <w:vertAlign w:val="subscript"/>
        </w:rPr>
        <w:t>GW</w:t>
      </w:r>
      <w:r w:rsidRPr="00817EA6">
        <w:t xml:space="preserve"> calculated for the GAP and groundwater scenarios considered in this </w:t>
      </w:r>
      <w:proofErr w:type="spellStart"/>
      <w:r w:rsidRPr="00817EA6">
        <w:t>dRR</w:t>
      </w:r>
      <w:proofErr w:type="spellEnd"/>
      <w:r w:rsidRPr="00817EA6">
        <w:t xml:space="preserve">). M650F04 is not considered relevant according to the criteria laid down in the EC guidance document SANCO/221/2000 –rev.10. A summary of the relevance assessment is given in </w:t>
      </w:r>
      <w:r w:rsidRPr="00817EA6">
        <w:fldChar w:fldCharType="begin"/>
      </w:r>
      <w:r w:rsidRPr="00817EA6">
        <w:instrText xml:space="preserve"> REF _Ref468103557 \h </w:instrText>
      </w:r>
      <w:r w:rsidR="00817EA6">
        <w:instrText xml:space="preserve"> \* MERGEFORMAT </w:instrText>
      </w:r>
      <w:r w:rsidRPr="00817EA6">
        <w:fldChar w:fldCharType="separate"/>
      </w:r>
      <w:r w:rsidR="00727948" w:rsidRPr="00817EA6">
        <w:t>Table </w:t>
      </w:r>
      <w:r w:rsidR="00727948">
        <w:t>10.3</w:t>
      </w:r>
      <w:r w:rsidR="00727948" w:rsidRPr="00817EA6">
        <w:noBreakHyphen/>
      </w:r>
      <w:r w:rsidR="00727948">
        <w:t>1</w:t>
      </w:r>
      <w:r w:rsidRPr="00817EA6">
        <w:fldChar w:fldCharType="end"/>
      </w:r>
      <w:r w:rsidRPr="00817EA6">
        <w:t xml:space="preserve"> and the corresponding studies are listed in the corresponding sections.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36"/>
        <w:gridCol w:w="1372"/>
        <w:gridCol w:w="1372"/>
        <w:gridCol w:w="2837"/>
        <w:gridCol w:w="2841"/>
      </w:tblGrid>
      <w:tr w:rsidR="00453127" w:rsidRPr="00817EA6" w14:paraId="68683A1E" w14:textId="77777777" w:rsidTr="009B666E">
        <w:trPr>
          <w:tblHeader/>
        </w:trPr>
        <w:tc>
          <w:tcPr>
            <w:tcW w:w="5000" w:type="pct"/>
            <w:gridSpan w:val="5"/>
            <w:tcBorders>
              <w:top w:val="nil"/>
              <w:left w:val="nil"/>
              <w:bottom w:val="single" w:sz="4" w:space="0" w:color="auto"/>
              <w:right w:val="nil"/>
            </w:tcBorders>
            <w:shd w:val="clear" w:color="auto" w:fill="auto"/>
          </w:tcPr>
          <w:p w14:paraId="30953D95" w14:textId="185751A1" w:rsidR="00453127" w:rsidRPr="00817EA6" w:rsidRDefault="00453127" w:rsidP="009B666E">
            <w:pPr>
              <w:pStyle w:val="RepLabel"/>
            </w:pPr>
            <w:bookmarkStart w:id="171" w:name="_Ref468103557"/>
            <w:r w:rsidRPr="00817EA6">
              <w:t>Table </w:t>
            </w:r>
            <w:r w:rsidR="009B666E">
              <w:rPr>
                <w:noProof/>
              </w:rPr>
              <w:fldChar w:fldCharType="begin"/>
            </w:r>
            <w:r w:rsidR="009B666E">
              <w:rPr>
                <w:noProof/>
              </w:rPr>
              <w:instrText xml:space="preserve"> STYLEREF 2 \s </w:instrText>
            </w:r>
            <w:r w:rsidR="009B666E">
              <w:rPr>
                <w:noProof/>
              </w:rPr>
              <w:fldChar w:fldCharType="separate"/>
            </w:r>
            <w:r w:rsidR="00727948">
              <w:rPr>
                <w:noProof/>
              </w:rPr>
              <w:t>10.3</w:t>
            </w:r>
            <w:r w:rsidR="009B666E">
              <w:rPr>
                <w:noProof/>
              </w:rPr>
              <w:fldChar w:fldCharType="end"/>
            </w:r>
            <w:r w:rsidRPr="00817EA6">
              <w:noBreakHyphen/>
            </w:r>
            <w:r w:rsidR="009B666E">
              <w:rPr>
                <w:noProof/>
              </w:rPr>
              <w:fldChar w:fldCharType="begin"/>
            </w:r>
            <w:r w:rsidR="009B666E">
              <w:rPr>
                <w:noProof/>
              </w:rPr>
              <w:instrText xml:space="preserve"> SEQ Table \* ARABIC \s 2 </w:instrText>
            </w:r>
            <w:r w:rsidR="009B666E">
              <w:rPr>
                <w:noProof/>
              </w:rPr>
              <w:fldChar w:fldCharType="separate"/>
            </w:r>
            <w:r w:rsidR="00727948">
              <w:rPr>
                <w:noProof/>
              </w:rPr>
              <w:t>1</w:t>
            </w:r>
            <w:r w:rsidR="009B666E">
              <w:rPr>
                <w:noProof/>
              </w:rPr>
              <w:fldChar w:fldCharType="end"/>
            </w:r>
            <w:bookmarkEnd w:id="171"/>
            <w:r w:rsidRPr="00817EA6">
              <w:t>:</w:t>
            </w:r>
            <w:r w:rsidRPr="00817EA6">
              <w:tab/>
              <w:t>Summary of the relevance assessment for M650F04</w:t>
            </w:r>
          </w:p>
        </w:tc>
      </w:tr>
      <w:tr w:rsidR="00453127" w:rsidRPr="00817EA6" w14:paraId="7B9D3D90" w14:textId="77777777" w:rsidTr="009B666E">
        <w:tc>
          <w:tcPr>
            <w:tcW w:w="500" w:type="pct"/>
            <w:shd w:val="clear" w:color="auto" w:fill="auto"/>
            <w:vAlign w:val="center"/>
          </w:tcPr>
          <w:p w14:paraId="018A8B8F" w14:textId="77777777" w:rsidR="00453127" w:rsidRPr="00817EA6" w:rsidRDefault="00453127" w:rsidP="009B666E">
            <w:pPr>
              <w:jc w:val="center"/>
              <w:rPr>
                <w:lang w:val="en-GB"/>
              </w:rPr>
            </w:pPr>
          </w:p>
        </w:tc>
        <w:tc>
          <w:tcPr>
            <w:tcW w:w="1466" w:type="pct"/>
            <w:gridSpan w:val="2"/>
            <w:shd w:val="clear" w:color="auto" w:fill="auto"/>
            <w:vAlign w:val="center"/>
          </w:tcPr>
          <w:p w14:paraId="3B18ADB0" w14:textId="77777777" w:rsidR="00453127" w:rsidRPr="00817EA6" w:rsidRDefault="00453127" w:rsidP="009B666E">
            <w:pPr>
              <w:pStyle w:val="RepTable"/>
            </w:pPr>
            <w:r w:rsidRPr="00817EA6">
              <w:rPr>
                <w:b/>
                <w:noProof w:val="0"/>
              </w:rPr>
              <w:t>Assessment step</w:t>
            </w:r>
          </w:p>
        </w:tc>
        <w:tc>
          <w:tcPr>
            <w:tcW w:w="3034" w:type="pct"/>
            <w:gridSpan w:val="2"/>
            <w:shd w:val="clear" w:color="auto" w:fill="auto"/>
            <w:vAlign w:val="center"/>
          </w:tcPr>
          <w:p w14:paraId="3CCC1061" w14:textId="77777777" w:rsidR="00453127" w:rsidRPr="00817EA6" w:rsidRDefault="00453127" w:rsidP="009B666E">
            <w:pPr>
              <w:pStyle w:val="RepTable"/>
            </w:pPr>
            <w:r w:rsidRPr="00817EA6">
              <w:rPr>
                <w:b/>
                <w:noProof w:val="0"/>
              </w:rPr>
              <w:t xml:space="preserve">Result of assessment </w:t>
            </w:r>
          </w:p>
        </w:tc>
      </w:tr>
      <w:tr w:rsidR="00453127" w:rsidRPr="00817EA6" w14:paraId="298425D4" w14:textId="77777777" w:rsidTr="009B666E">
        <w:tc>
          <w:tcPr>
            <w:tcW w:w="500" w:type="pct"/>
            <w:shd w:val="clear" w:color="auto" w:fill="auto"/>
          </w:tcPr>
          <w:p w14:paraId="5A4FC5D5" w14:textId="77777777" w:rsidR="00453127" w:rsidRPr="00817EA6" w:rsidRDefault="00453127" w:rsidP="009B666E">
            <w:pPr>
              <w:rPr>
                <w:lang w:val="en-GB"/>
              </w:rPr>
            </w:pPr>
          </w:p>
        </w:tc>
        <w:tc>
          <w:tcPr>
            <w:tcW w:w="1466" w:type="pct"/>
            <w:gridSpan w:val="2"/>
            <w:shd w:val="clear" w:color="auto" w:fill="auto"/>
          </w:tcPr>
          <w:p w14:paraId="4165546B" w14:textId="77777777" w:rsidR="00453127" w:rsidRPr="00817EA6" w:rsidRDefault="00453127" w:rsidP="009B666E">
            <w:pPr>
              <w:pStyle w:val="RepTable"/>
            </w:pPr>
            <w:r w:rsidRPr="00817EA6">
              <w:rPr>
                <w:noProof w:val="0"/>
              </w:rPr>
              <w:t xml:space="preserve">STEP 1 </w:t>
            </w:r>
          </w:p>
        </w:tc>
        <w:tc>
          <w:tcPr>
            <w:tcW w:w="1516" w:type="pct"/>
            <w:shd w:val="clear" w:color="auto" w:fill="auto"/>
          </w:tcPr>
          <w:p w14:paraId="6764771E" w14:textId="77777777" w:rsidR="00453127" w:rsidRPr="00817EA6" w:rsidRDefault="00453127" w:rsidP="009B666E">
            <w:pPr>
              <w:pStyle w:val="RepTable"/>
            </w:pPr>
            <w:r w:rsidRPr="00817EA6">
              <w:rPr>
                <w:noProof w:val="0"/>
              </w:rPr>
              <w:t>Metabolite of no concern?</w:t>
            </w:r>
          </w:p>
        </w:tc>
        <w:tc>
          <w:tcPr>
            <w:tcW w:w="1518" w:type="pct"/>
            <w:shd w:val="clear" w:color="auto" w:fill="auto"/>
          </w:tcPr>
          <w:p w14:paraId="143AA978" w14:textId="77777777" w:rsidR="00453127" w:rsidRPr="00817EA6" w:rsidRDefault="00453127" w:rsidP="009B666E">
            <w:pPr>
              <w:pStyle w:val="RepTable"/>
            </w:pPr>
            <w:r w:rsidRPr="00817EA6">
              <w:rPr>
                <w:noProof w:val="0"/>
              </w:rPr>
              <w:t>no</w:t>
            </w:r>
          </w:p>
        </w:tc>
      </w:tr>
      <w:tr w:rsidR="00453127" w:rsidRPr="00817EA6" w14:paraId="4197829C" w14:textId="77777777" w:rsidTr="009B666E">
        <w:tc>
          <w:tcPr>
            <w:tcW w:w="500" w:type="pct"/>
            <w:vMerge w:val="restart"/>
            <w:shd w:val="clear" w:color="auto" w:fill="auto"/>
            <w:textDirection w:val="btLr"/>
            <w:vAlign w:val="center"/>
          </w:tcPr>
          <w:p w14:paraId="4DAC098F" w14:textId="77777777" w:rsidR="00453127" w:rsidRPr="00817EA6" w:rsidRDefault="00453127" w:rsidP="009B666E">
            <w:pPr>
              <w:pStyle w:val="RepTable"/>
              <w:jc w:val="center"/>
            </w:pPr>
            <w:r w:rsidRPr="00817EA6">
              <w:rPr>
                <w:b/>
                <w:noProof w:val="0"/>
              </w:rPr>
              <w:t>Quantification of groundwater contamination</w:t>
            </w:r>
          </w:p>
        </w:tc>
        <w:tc>
          <w:tcPr>
            <w:tcW w:w="1466" w:type="pct"/>
            <w:gridSpan w:val="2"/>
            <w:vMerge w:val="restart"/>
            <w:shd w:val="clear" w:color="auto" w:fill="auto"/>
          </w:tcPr>
          <w:p w14:paraId="5BF7A118" w14:textId="77777777" w:rsidR="00453127" w:rsidRPr="00817EA6" w:rsidRDefault="00453127" w:rsidP="009B666E">
            <w:pPr>
              <w:pStyle w:val="RepTable"/>
            </w:pPr>
            <w:r w:rsidRPr="00817EA6">
              <w:rPr>
                <w:noProof w:val="0"/>
              </w:rPr>
              <w:t>STEP 2</w:t>
            </w:r>
          </w:p>
          <w:p w14:paraId="45EBF002" w14:textId="77777777" w:rsidR="00453127" w:rsidRPr="00817EA6" w:rsidRDefault="00453127" w:rsidP="009B666E">
            <w:pPr>
              <w:rPr>
                <w:lang w:val="en-GB"/>
              </w:rPr>
            </w:pPr>
          </w:p>
        </w:tc>
        <w:tc>
          <w:tcPr>
            <w:tcW w:w="1516" w:type="pct"/>
            <w:shd w:val="clear" w:color="auto" w:fill="auto"/>
          </w:tcPr>
          <w:p w14:paraId="076351D9" w14:textId="77777777" w:rsidR="00453127" w:rsidRPr="00817EA6" w:rsidRDefault="00453127" w:rsidP="009B666E">
            <w:pPr>
              <w:pStyle w:val="RepTable"/>
            </w:pPr>
            <w:r w:rsidRPr="00817EA6">
              <w:rPr>
                <w:noProof w:val="0"/>
              </w:rPr>
              <w:t>Max PEC</w:t>
            </w:r>
            <w:r w:rsidRPr="00817EA6">
              <w:rPr>
                <w:noProof w:val="0"/>
                <w:vertAlign w:val="subscript"/>
              </w:rPr>
              <w:t xml:space="preserve">GW </w:t>
            </w:r>
          </w:p>
        </w:tc>
        <w:tc>
          <w:tcPr>
            <w:tcW w:w="1518" w:type="pct"/>
            <w:shd w:val="clear" w:color="auto" w:fill="auto"/>
          </w:tcPr>
          <w:p w14:paraId="0847B280" w14:textId="4EA56E67" w:rsidR="00453127" w:rsidRPr="00817EA6" w:rsidRDefault="00446C0B" w:rsidP="009B666E">
            <w:pPr>
              <w:pStyle w:val="RepTable"/>
            </w:pPr>
            <w:r w:rsidRPr="00817EA6">
              <w:t>8.650</w:t>
            </w:r>
            <w:r w:rsidR="00453127" w:rsidRPr="00817EA6">
              <w:t xml:space="preserve"> µg/L</w:t>
            </w:r>
            <w:r w:rsidR="00453127" w:rsidRPr="00817EA6">
              <w:rPr>
                <w:vertAlign w:val="superscript"/>
              </w:rPr>
              <w:t xml:space="preserve"> </w:t>
            </w:r>
          </w:p>
        </w:tc>
      </w:tr>
      <w:tr w:rsidR="00453127" w:rsidRPr="00817EA6" w14:paraId="2571784C" w14:textId="77777777" w:rsidTr="009B666E">
        <w:tc>
          <w:tcPr>
            <w:tcW w:w="500" w:type="pct"/>
            <w:vMerge/>
            <w:shd w:val="clear" w:color="auto" w:fill="auto"/>
            <w:vAlign w:val="center"/>
          </w:tcPr>
          <w:p w14:paraId="6C7A77A8" w14:textId="77777777" w:rsidR="00453127" w:rsidRPr="00817EA6" w:rsidRDefault="00453127" w:rsidP="009B666E">
            <w:pPr>
              <w:keepNext/>
              <w:jc w:val="center"/>
              <w:rPr>
                <w:lang w:val="en-GB"/>
              </w:rPr>
            </w:pPr>
          </w:p>
        </w:tc>
        <w:tc>
          <w:tcPr>
            <w:tcW w:w="1466" w:type="pct"/>
            <w:gridSpan w:val="2"/>
            <w:vMerge/>
            <w:shd w:val="clear" w:color="auto" w:fill="auto"/>
          </w:tcPr>
          <w:p w14:paraId="314D51D5" w14:textId="77777777" w:rsidR="00453127" w:rsidRPr="00817EA6" w:rsidRDefault="00453127" w:rsidP="009B666E">
            <w:pPr>
              <w:rPr>
                <w:lang w:val="en-GB"/>
              </w:rPr>
            </w:pPr>
          </w:p>
        </w:tc>
        <w:tc>
          <w:tcPr>
            <w:tcW w:w="1516" w:type="pct"/>
            <w:shd w:val="clear" w:color="auto" w:fill="auto"/>
          </w:tcPr>
          <w:p w14:paraId="7E491E22" w14:textId="77777777" w:rsidR="00453127" w:rsidRPr="00817EA6" w:rsidRDefault="00453127" w:rsidP="009B666E">
            <w:pPr>
              <w:pStyle w:val="RepTable"/>
            </w:pPr>
            <w:r w:rsidRPr="00817EA6">
              <w:rPr>
                <w:noProof w:val="0"/>
              </w:rPr>
              <w:t xml:space="preserve">Based on </w:t>
            </w:r>
          </w:p>
        </w:tc>
        <w:tc>
          <w:tcPr>
            <w:tcW w:w="1518" w:type="pct"/>
            <w:shd w:val="clear" w:color="auto" w:fill="auto"/>
          </w:tcPr>
          <w:p w14:paraId="561602AD" w14:textId="76D12AAB" w:rsidR="00453127" w:rsidRPr="00817EA6" w:rsidRDefault="00453127" w:rsidP="009B666E">
            <w:pPr>
              <w:pStyle w:val="RepTable"/>
            </w:pPr>
            <w:r w:rsidRPr="00817EA6">
              <w:rPr>
                <w:noProof w:val="0"/>
              </w:rPr>
              <w:t xml:space="preserve">PEARL 5.5.5 / </w:t>
            </w:r>
            <w:r w:rsidR="00446C0B" w:rsidRPr="00817EA6">
              <w:rPr>
                <w:szCs w:val="20"/>
              </w:rPr>
              <w:t>onion, BBCH 14, 2×240 g a.s./ha (5-d intervals), every 2</w:t>
            </w:r>
            <w:r w:rsidR="00446C0B" w:rsidRPr="00817EA6">
              <w:rPr>
                <w:szCs w:val="20"/>
                <w:vertAlign w:val="superscript"/>
              </w:rPr>
              <w:t>nd</w:t>
            </w:r>
            <w:r w:rsidR="00446C0B" w:rsidRPr="00817EA6">
              <w:rPr>
                <w:szCs w:val="20"/>
              </w:rPr>
              <w:t xml:space="preserve"> year</w:t>
            </w:r>
            <w:r w:rsidR="00446C0B" w:rsidRPr="00817EA6">
              <w:rPr>
                <w:noProof w:val="0"/>
              </w:rPr>
              <w:t xml:space="preserve"> </w:t>
            </w:r>
            <w:r w:rsidRPr="00817EA6">
              <w:rPr>
                <w:noProof w:val="0"/>
              </w:rPr>
              <w:t xml:space="preserve">/ </w:t>
            </w:r>
            <w:r w:rsidRPr="00817EA6">
              <w:rPr>
                <w:noProof w:val="0"/>
                <w:szCs w:val="20"/>
              </w:rPr>
              <w:t>Hamburg</w:t>
            </w:r>
            <w:r w:rsidRPr="00817EA6">
              <w:rPr>
                <w:noProof w:val="0"/>
              </w:rPr>
              <w:t xml:space="preserve"> scenario</w:t>
            </w:r>
          </w:p>
        </w:tc>
      </w:tr>
      <w:tr w:rsidR="00453127" w:rsidRPr="00817EA6" w14:paraId="4ED38822" w14:textId="77777777" w:rsidTr="009B666E">
        <w:tc>
          <w:tcPr>
            <w:tcW w:w="500" w:type="pct"/>
            <w:vMerge w:val="restart"/>
            <w:shd w:val="clear" w:color="auto" w:fill="auto"/>
            <w:textDirection w:val="btLr"/>
            <w:vAlign w:val="center"/>
          </w:tcPr>
          <w:p w14:paraId="0D20C019" w14:textId="77777777" w:rsidR="00453127" w:rsidRPr="00817EA6" w:rsidRDefault="00453127" w:rsidP="009B666E">
            <w:pPr>
              <w:pStyle w:val="RepTable"/>
              <w:jc w:val="center"/>
            </w:pPr>
            <w:r w:rsidRPr="00817EA6">
              <w:rPr>
                <w:b/>
                <w:noProof w:val="0"/>
              </w:rPr>
              <w:t>Hazard assessment</w:t>
            </w:r>
          </w:p>
        </w:tc>
        <w:tc>
          <w:tcPr>
            <w:tcW w:w="733" w:type="pct"/>
            <w:vMerge w:val="restart"/>
            <w:shd w:val="clear" w:color="auto" w:fill="auto"/>
          </w:tcPr>
          <w:p w14:paraId="3C76334F" w14:textId="77777777" w:rsidR="00453127" w:rsidRPr="00817EA6" w:rsidRDefault="00453127" w:rsidP="009B666E">
            <w:pPr>
              <w:pStyle w:val="RepTable"/>
            </w:pPr>
            <w:r w:rsidRPr="00817EA6">
              <w:rPr>
                <w:noProof w:val="0"/>
              </w:rPr>
              <w:t>STEP 3</w:t>
            </w:r>
          </w:p>
        </w:tc>
        <w:tc>
          <w:tcPr>
            <w:tcW w:w="733" w:type="pct"/>
            <w:shd w:val="clear" w:color="auto" w:fill="auto"/>
          </w:tcPr>
          <w:p w14:paraId="1D9B2855" w14:textId="77777777" w:rsidR="00453127" w:rsidRPr="00817EA6" w:rsidRDefault="00453127" w:rsidP="009B666E">
            <w:pPr>
              <w:pStyle w:val="RepTable"/>
            </w:pPr>
            <w:r w:rsidRPr="00817EA6">
              <w:rPr>
                <w:noProof w:val="0"/>
              </w:rPr>
              <w:t>Stage 1</w:t>
            </w:r>
          </w:p>
        </w:tc>
        <w:tc>
          <w:tcPr>
            <w:tcW w:w="1516" w:type="pct"/>
            <w:shd w:val="clear" w:color="auto" w:fill="auto"/>
          </w:tcPr>
          <w:p w14:paraId="6466F50E" w14:textId="77777777" w:rsidR="00453127" w:rsidRPr="00817EA6" w:rsidRDefault="00453127" w:rsidP="009B666E">
            <w:pPr>
              <w:pStyle w:val="RepTable"/>
            </w:pPr>
            <w:r w:rsidRPr="00817EA6">
              <w:rPr>
                <w:noProof w:val="0"/>
              </w:rPr>
              <w:t>Biological activity comparable to the parent?</w:t>
            </w:r>
          </w:p>
        </w:tc>
        <w:tc>
          <w:tcPr>
            <w:tcW w:w="1518" w:type="pct"/>
            <w:shd w:val="clear" w:color="auto" w:fill="auto"/>
          </w:tcPr>
          <w:p w14:paraId="5CD4126B" w14:textId="77777777" w:rsidR="00453127" w:rsidRPr="00817EA6" w:rsidRDefault="00453127" w:rsidP="009B666E">
            <w:pPr>
              <w:pStyle w:val="RepTable"/>
            </w:pPr>
            <w:r w:rsidRPr="00817EA6">
              <w:rPr>
                <w:noProof w:val="0"/>
              </w:rPr>
              <w:t>no</w:t>
            </w:r>
          </w:p>
        </w:tc>
      </w:tr>
      <w:tr w:rsidR="00453127" w:rsidRPr="00817EA6" w14:paraId="21053E8D" w14:textId="77777777" w:rsidTr="009B666E">
        <w:tc>
          <w:tcPr>
            <w:tcW w:w="500" w:type="pct"/>
            <w:vMerge/>
            <w:shd w:val="clear" w:color="auto" w:fill="auto"/>
            <w:vAlign w:val="center"/>
          </w:tcPr>
          <w:p w14:paraId="241A6475" w14:textId="77777777" w:rsidR="00453127" w:rsidRPr="00817EA6" w:rsidRDefault="00453127" w:rsidP="009B666E">
            <w:pPr>
              <w:keepNext/>
              <w:jc w:val="center"/>
              <w:rPr>
                <w:lang w:val="en-GB"/>
              </w:rPr>
            </w:pPr>
          </w:p>
        </w:tc>
        <w:tc>
          <w:tcPr>
            <w:tcW w:w="733" w:type="pct"/>
            <w:vMerge/>
            <w:shd w:val="clear" w:color="auto" w:fill="auto"/>
          </w:tcPr>
          <w:p w14:paraId="238CA9C2" w14:textId="77777777" w:rsidR="00453127" w:rsidRPr="00817EA6" w:rsidRDefault="00453127" w:rsidP="009B666E">
            <w:pPr>
              <w:rPr>
                <w:lang w:val="en-GB"/>
              </w:rPr>
            </w:pPr>
          </w:p>
        </w:tc>
        <w:tc>
          <w:tcPr>
            <w:tcW w:w="733" w:type="pct"/>
            <w:shd w:val="clear" w:color="auto" w:fill="auto"/>
          </w:tcPr>
          <w:p w14:paraId="6659355E" w14:textId="77777777" w:rsidR="00453127" w:rsidRPr="00817EA6" w:rsidRDefault="00453127" w:rsidP="009B666E">
            <w:pPr>
              <w:pStyle w:val="RepTable"/>
            </w:pPr>
            <w:r w:rsidRPr="00817EA6">
              <w:rPr>
                <w:noProof w:val="0"/>
              </w:rPr>
              <w:t>Stage 2</w:t>
            </w:r>
          </w:p>
        </w:tc>
        <w:tc>
          <w:tcPr>
            <w:tcW w:w="1516" w:type="pct"/>
            <w:shd w:val="clear" w:color="auto" w:fill="auto"/>
          </w:tcPr>
          <w:p w14:paraId="07613257" w14:textId="77777777" w:rsidR="00453127" w:rsidRPr="00817EA6" w:rsidRDefault="00453127" w:rsidP="009B666E">
            <w:pPr>
              <w:pStyle w:val="RepTable"/>
            </w:pPr>
            <w:r w:rsidRPr="00817EA6">
              <w:rPr>
                <w:noProof w:val="0"/>
              </w:rPr>
              <w:t>Genotoxic properties of metabolite</w:t>
            </w:r>
          </w:p>
        </w:tc>
        <w:tc>
          <w:tcPr>
            <w:tcW w:w="1518" w:type="pct"/>
            <w:shd w:val="clear" w:color="auto" w:fill="auto"/>
          </w:tcPr>
          <w:p w14:paraId="36D4E941" w14:textId="77777777" w:rsidR="00453127" w:rsidRPr="00817EA6" w:rsidRDefault="00453127" w:rsidP="009B666E">
            <w:pPr>
              <w:pStyle w:val="RepTable"/>
            </w:pPr>
            <w:r w:rsidRPr="00817EA6">
              <w:rPr>
                <w:noProof w:val="0"/>
              </w:rPr>
              <w:t>non-genotoxic</w:t>
            </w:r>
          </w:p>
        </w:tc>
      </w:tr>
      <w:tr w:rsidR="00453127" w:rsidRPr="00817EA6" w14:paraId="74FD33E5" w14:textId="77777777" w:rsidTr="009B666E">
        <w:tc>
          <w:tcPr>
            <w:tcW w:w="500" w:type="pct"/>
            <w:vMerge/>
            <w:shd w:val="clear" w:color="auto" w:fill="auto"/>
            <w:vAlign w:val="center"/>
          </w:tcPr>
          <w:p w14:paraId="613D7C31" w14:textId="77777777" w:rsidR="00453127" w:rsidRPr="00817EA6" w:rsidRDefault="00453127" w:rsidP="009B666E">
            <w:pPr>
              <w:keepNext/>
              <w:jc w:val="center"/>
              <w:rPr>
                <w:lang w:val="en-GB"/>
              </w:rPr>
            </w:pPr>
          </w:p>
        </w:tc>
        <w:tc>
          <w:tcPr>
            <w:tcW w:w="733" w:type="pct"/>
            <w:vMerge/>
            <w:shd w:val="clear" w:color="auto" w:fill="auto"/>
          </w:tcPr>
          <w:p w14:paraId="0ED23CE5" w14:textId="77777777" w:rsidR="00453127" w:rsidRPr="00817EA6" w:rsidRDefault="00453127" w:rsidP="009B666E">
            <w:pPr>
              <w:rPr>
                <w:lang w:val="en-GB"/>
              </w:rPr>
            </w:pPr>
          </w:p>
        </w:tc>
        <w:tc>
          <w:tcPr>
            <w:tcW w:w="733" w:type="pct"/>
            <w:vMerge w:val="restart"/>
            <w:shd w:val="clear" w:color="auto" w:fill="auto"/>
          </w:tcPr>
          <w:p w14:paraId="3276CF8B" w14:textId="77777777" w:rsidR="00453127" w:rsidRPr="00817EA6" w:rsidRDefault="00453127" w:rsidP="009B666E">
            <w:pPr>
              <w:pStyle w:val="RepTable"/>
            </w:pPr>
            <w:r w:rsidRPr="00817EA6">
              <w:rPr>
                <w:noProof w:val="0"/>
              </w:rPr>
              <w:t>Stage 3</w:t>
            </w:r>
          </w:p>
        </w:tc>
        <w:tc>
          <w:tcPr>
            <w:tcW w:w="1516" w:type="pct"/>
            <w:shd w:val="clear" w:color="auto" w:fill="auto"/>
          </w:tcPr>
          <w:p w14:paraId="1304E3BC" w14:textId="77777777" w:rsidR="00453127" w:rsidRPr="00817EA6" w:rsidRDefault="00453127" w:rsidP="009B666E">
            <w:pPr>
              <w:pStyle w:val="RepTable"/>
            </w:pPr>
            <w:r w:rsidRPr="00817EA6">
              <w:rPr>
                <w:noProof w:val="0"/>
              </w:rPr>
              <w:t>Toxic properties of metabolite;</w:t>
            </w:r>
          </w:p>
        </w:tc>
        <w:tc>
          <w:tcPr>
            <w:tcW w:w="1518" w:type="pct"/>
            <w:shd w:val="clear" w:color="auto" w:fill="auto"/>
          </w:tcPr>
          <w:p w14:paraId="3DA16DC7" w14:textId="77777777" w:rsidR="00453127" w:rsidRPr="00817EA6" w:rsidRDefault="00453127" w:rsidP="009B666E">
            <w:pPr>
              <w:pStyle w:val="RepTable"/>
            </w:pPr>
          </w:p>
        </w:tc>
      </w:tr>
      <w:tr w:rsidR="00453127" w:rsidRPr="00817EA6" w14:paraId="4EBFC50A" w14:textId="77777777" w:rsidTr="009B666E">
        <w:tc>
          <w:tcPr>
            <w:tcW w:w="500" w:type="pct"/>
            <w:vMerge/>
            <w:shd w:val="clear" w:color="auto" w:fill="auto"/>
            <w:vAlign w:val="center"/>
          </w:tcPr>
          <w:p w14:paraId="30BCD8C5" w14:textId="77777777" w:rsidR="00453127" w:rsidRPr="00817EA6" w:rsidRDefault="00453127" w:rsidP="009B666E">
            <w:pPr>
              <w:keepNext/>
              <w:jc w:val="center"/>
              <w:rPr>
                <w:lang w:val="en-GB"/>
              </w:rPr>
            </w:pPr>
          </w:p>
        </w:tc>
        <w:tc>
          <w:tcPr>
            <w:tcW w:w="733" w:type="pct"/>
            <w:vMerge/>
            <w:shd w:val="clear" w:color="auto" w:fill="auto"/>
          </w:tcPr>
          <w:p w14:paraId="57D4CBB7" w14:textId="77777777" w:rsidR="00453127" w:rsidRPr="00817EA6" w:rsidRDefault="00453127" w:rsidP="009B666E">
            <w:pPr>
              <w:keepNext/>
              <w:rPr>
                <w:lang w:val="en-GB"/>
              </w:rPr>
            </w:pPr>
          </w:p>
        </w:tc>
        <w:tc>
          <w:tcPr>
            <w:tcW w:w="733" w:type="pct"/>
            <w:vMerge/>
            <w:shd w:val="clear" w:color="auto" w:fill="auto"/>
          </w:tcPr>
          <w:p w14:paraId="199816A1" w14:textId="77777777" w:rsidR="00453127" w:rsidRPr="00817EA6" w:rsidRDefault="00453127" w:rsidP="009B666E">
            <w:pPr>
              <w:rPr>
                <w:lang w:val="en-GB"/>
              </w:rPr>
            </w:pPr>
          </w:p>
        </w:tc>
        <w:tc>
          <w:tcPr>
            <w:tcW w:w="1516" w:type="pct"/>
            <w:shd w:val="clear" w:color="auto" w:fill="auto"/>
          </w:tcPr>
          <w:p w14:paraId="7AA8EE95" w14:textId="77777777" w:rsidR="00453127" w:rsidRPr="00817EA6" w:rsidRDefault="00453127" w:rsidP="009B666E">
            <w:pPr>
              <w:pStyle w:val="RepTable"/>
            </w:pPr>
            <w:r w:rsidRPr="00817EA6">
              <w:rPr>
                <w:noProof w:val="0"/>
              </w:rPr>
              <w:t xml:space="preserve">Classification of parent </w:t>
            </w:r>
          </w:p>
        </w:tc>
        <w:tc>
          <w:tcPr>
            <w:tcW w:w="1518" w:type="pct"/>
            <w:shd w:val="clear" w:color="auto" w:fill="auto"/>
          </w:tcPr>
          <w:p w14:paraId="3DD5D100" w14:textId="77777777" w:rsidR="00453127" w:rsidRPr="00817EA6" w:rsidRDefault="00453127" w:rsidP="009B666E">
            <w:pPr>
              <w:pStyle w:val="RepTable"/>
            </w:pPr>
            <w:r w:rsidRPr="00817EA6">
              <w:rPr>
                <w:noProof w:val="0"/>
              </w:rPr>
              <w:t>no classification</w:t>
            </w:r>
          </w:p>
        </w:tc>
      </w:tr>
      <w:tr w:rsidR="00453127" w:rsidRPr="00817EA6" w14:paraId="45DD1F89" w14:textId="77777777" w:rsidTr="009B666E">
        <w:tc>
          <w:tcPr>
            <w:tcW w:w="500" w:type="pct"/>
            <w:vMerge/>
            <w:shd w:val="clear" w:color="auto" w:fill="auto"/>
            <w:vAlign w:val="center"/>
          </w:tcPr>
          <w:p w14:paraId="2DF6FAE2" w14:textId="77777777" w:rsidR="00453127" w:rsidRPr="00817EA6" w:rsidRDefault="00453127" w:rsidP="009B666E">
            <w:pPr>
              <w:keepNext/>
              <w:jc w:val="center"/>
              <w:rPr>
                <w:lang w:val="en-GB"/>
              </w:rPr>
            </w:pPr>
          </w:p>
        </w:tc>
        <w:tc>
          <w:tcPr>
            <w:tcW w:w="733" w:type="pct"/>
            <w:vMerge/>
            <w:shd w:val="clear" w:color="auto" w:fill="auto"/>
          </w:tcPr>
          <w:p w14:paraId="7703794E" w14:textId="77777777" w:rsidR="00453127" w:rsidRPr="00817EA6" w:rsidRDefault="00453127" w:rsidP="009B666E">
            <w:pPr>
              <w:keepNext/>
              <w:jc w:val="right"/>
              <w:rPr>
                <w:lang w:val="en-GB"/>
              </w:rPr>
            </w:pPr>
          </w:p>
        </w:tc>
        <w:tc>
          <w:tcPr>
            <w:tcW w:w="733" w:type="pct"/>
            <w:vMerge/>
            <w:shd w:val="clear" w:color="auto" w:fill="auto"/>
          </w:tcPr>
          <w:p w14:paraId="5B5190EE" w14:textId="77777777" w:rsidR="00453127" w:rsidRPr="00817EA6" w:rsidRDefault="00453127" w:rsidP="009B666E">
            <w:pPr>
              <w:rPr>
                <w:lang w:val="en-GB"/>
              </w:rPr>
            </w:pPr>
          </w:p>
        </w:tc>
        <w:tc>
          <w:tcPr>
            <w:tcW w:w="1516" w:type="pct"/>
            <w:shd w:val="clear" w:color="auto" w:fill="auto"/>
          </w:tcPr>
          <w:p w14:paraId="6331F45E" w14:textId="77777777" w:rsidR="00453127" w:rsidRPr="00817EA6" w:rsidRDefault="00453127" w:rsidP="009B666E">
            <w:pPr>
              <w:pStyle w:val="RepTable"/>
            </w:pPr>
            <w:r w:rsidRPr="00817EA6">
              <w:rPr>
                <w:noProof w:val="0"/>
              </w:rPr>
              <w:t>Classification of metabolite</w:t>
            </w:r>
          </w:p>
        </w:tc>
        <w:tc>
          <w:tcPr>
            <w:tcW w:w="1518" w:type="pct"/>
            <w:shd w:val="clear" w:color="auto" w:fill="auto"/>
          </w:tcPr>
          <w:p w14:paraId="0E78A84C" w14:textId="77777777" w:rsidR="00453127" w:rsidRPr="00817EA6" w:rsidRDefault="00453127" w:rsidP="009B666E">
            <w:pPr>
              <w:pStyle w:val="RepTable"/>
            </w:pPr>
            <w:r w:rsidRPr="00817EA6">
              <w:rPr>
                <w:noProof w:val="0"/>
              </w:rPr>
              <w:t>no classification</w:t>
            </w:r>
          </w:p>
        </w:tc>
      </w:tr>
      <w:tr w:rsidR="00453127" w:rsidRPr="00817EA6" w14:paraId="573F75CF" w14:textId="77777777" w:rsidTr="009B666E">
        <w:trPr>
          <w:trHeight w:val="879"/>
        </w:trPr>
        <w:tc>
          <w:tcPr>
            <w:tcW w:w="500" w:type="pct"/>
            <w:vMerge w:val="restart"/>
            <w:shd w:val="clear" w:color="auto" w:fill="auto"/>
            <w:textDirection w:val="btLr"/>
            <w:vAlign w:val="center"/>
          </w:tcPr>
          <w:p w14:paraId="4F0F9FE3" w14:textId="77777777" w:rsidR="00453127" w:rsidRPr="00817EA6" w:rsidRDefault="00453127" w:rsidP="009B666E">
            <w:pPr>
              <w:pStyle w:val="RepTable"/>
              <w:jc w:val="center"/>
            </w:pPr>
            <w:r w:rsidRPr="00817EA6">
              <w:rPr>
                <w:b/>
                <w:noProof w:val="0"/>
              </w:rPr>
              <w:t>Consumer health risk assessment</w:t>
            </w:r>
          </w:p>
        </w:tc>
        <w:tc>
          <w:tcPr>
            <w:tcW w:w="1466" w:type="pct"/>
            <w:gridSpan w:val="2"/>
            <w:shd w:val="clear" w:color="auto" w:fill="auto"/>
          </w:tcPr>
          <w:p w14:paraId="2575AE7E" w14:textId="77777777" w:rsidR="00453127" w:rsidRPr="00817EA6" w:rsidRDefault="00453127" w:rsidP="009B666E">
            <w:pPr>
              <w:pStyle w:val="RepTable"/>
            </w:pPr>
            <w:r w:rsidRPr="00817EA6">
              <w:rPr>
                <w:noProof w:val="0"/>
              </w:rPr>
              <w:t>STEP 4</w:t>
            </w:r>
          </w:p>
        </w:tc>
        <w:tc>
          <w:tcPr>
            <w:tcW w:w="1516" w:type="pct"/>
            <w:shd w:val="clear" w:color="auto" w:fill="auto"/>
          </w:tcPr>
          <w:p w14:paraId="2EB3E83F" w14:textId="77777777" w:rsidR="00453127" w:rsidRPr="00817EA6" w:rsidRDefault="00453127" w:rsidP="009B666E">
            <w:pPr>
              <w:pStyle w:val="RepTable"/>
            </w:pPr>
            <w:r w:rsidRPr="00817EA6">
              <w:rPr>
                <w:noProof w:val="0"/>
              </w:rPr>
              <w:t xml:space="preserve">Estimated consumer exposure via drinking water and other sources; threshold of concern approach </w:t>
            </w:r>
          </w:p>
        </w:tc>
        <w:tc>
          <w:tcPr>
            <w:tcW w:w="1518" w:type="pct"/>
            <w:shd w:val="clear" w:color="auto" w:fill="auto"/>
          </w:tcPr>
          <w:p w14:paraId="46E195DF" w14:textId="77777777" w:rsidR="00453127" w:rsidRPr="00817EA6" w:rsidRDefault="00453127" w:rsidP="009B666E">
            <w:pPr>
              <w:pStyle w:val="RepTable"/>
            </w:pPr>
            <w:r w:rsidRPr="00817EA6">
              <w:t xml:space="preserve"> not acceptable (&gt; 0.75 µg/L)</w:t>
            </w:r>
          </w:p>
        </w:tc>
      </w:tr>
      <w:tr w:rsidR="00453127" w:rsidRPr="00817EA6" w14:paraId="031B02E7" w14:textId="77777777" w:rsidTr="009B666E">
        <w:tc>
          <w:tcPr>
            <w:tcW w:w="500" w:type="pct"/>
            <w:vMerge/>
            <w:shd w:val="clear" w:color="auto" w:fill="auto"/>
          </w:tcPr>
          <w:p w14:paraId="38977252" w14:textId="77777777" w:rsidR="00453127" w:rsidRPr="00817EA6" w:rsidRDefault="00453127" w:rsidP="009B666E">
            <w:pPr>
              <w:rPr>
                <w:lang w:val="en-GB"/>
              </w:rPr>
            </w:pPr>
          </w:p>
        </w:tc>
        <w:tc>
          <w:tcPr>
            <w:tcW w:w="1466" w:type="pct"/>
            <w:gridSpan w:val="2"/>
            <w:vMerge w:val="restart"/>
            <w:shd w:val="clear" w:color="auto" w:fill="auto"/>
          </w:tcPr>
          <w:p w14:paraId="250991C0" w14:textId="77777777" w:rsidR="00453127" w:rsidRPr="00817EA6" w:rsidRDefault="00453127" w:rsidP="009B666E">
            <w:pPr>
              <w:pStyle w:val="RepTable"/>
            </w:pPr>
            <w:r w:rsidRPr="00817EA6">
              <w:rPr>
                <w:noProof w:val="0"/>
              </w:rPr>
              <w:t>STEP 5</w:t>
            </w:r>
          </w:p>
        </w:tc>
        <w:tc>
          <w:tcPr>
            <w:tcW w:w="1516" w:type="pct"/>
            <w:shd w:val="clear" w:color="auto" w:fill="auto"/>
          </w:tcPr>
          <w:p w14:paraId="7B29440B" w14:textId="77777777" w:rsidR="00453127" w:rsidRPr="00817EA6" w:rsidRDefault="00453127" w:rsidP="009B666E">
            <w:pPr>
              <w:pStyle w:val="RepTable"/>
            </w:pPr>
            <w:r w:rsidRPr="00817EA6">
              <w:rPr>
                <w:noProof w:val="0"/>
              </w:rPr>
              <w:t>Refined risk assessment</w:t>
            </w:r>
          </w:p>
        </w:tc>
        <w:tc>
          <w:tcPr>
            <w:tcW w:w="1518" w:type="pct"/>
            <w:shd w:val="clear" w:color="auto" w:fill="auto"/>
          </w:tcPr>
          <w:p w14:paraId="79245D44" w14:textId="77777777" w:rsidR="00453127" w:rsidRPr="00817EA6" w:rsidRDefault="00453127" w:rsidP="009B666E">
            <w:pPr>
              <w:pStyle w:val="RepTable"/>
            </w:pPr>
            <w:r w:rsidRPr="00817EA6">
              <w:rPr>
                <w:noProof w:val="0"/>
              </w:rPr>
              <w:t>acceptable</w:t>
            </w:r>
          </w:p>
        </w:tc>
      </w:tr>
      <w:tr w:rsidR="00453127" w:rsidRPr="00817EA6" w14:paraId="058CE15E" w14:textId="77777777" w:rsidTr="009B666E">
        <w:tc>
          <w:tcPr>
            <w:tcW w:w="500" w:type="pct"/>
            <w:vMerge/>
            <w:shd w:val="clear" w:color="auto" w:fill="auto"/>
          </w:tcPr>
          <w:p w14:paraId="3E4AFB82" w14:textId="77777777" w:rsidR="00453127" w:rsidRPr="00817EA6" w:rsidRDefault="00453127" w:rsidP="009B666E">
            <w:pPr>
              <w:keepNext/>
              <w:rPr>
                <w:lang w:val="en-GB"/>
              </w:rPr>
            </w:pPr>
          </w:p>
        </w:tc>
        <w:tc>
          <w:tcPr>
            <w:tcW w:w="1466" w:type="pct"/>
            <w:gridSpan w:val="2"/>
            <w:vMerge/>
            <w:shd w:val="clear" w:color="auto" w:fill="auto"/>
          </w:tcPr>
          <w:p w14:paraId="5D9F8EC8" w14:textId="77777777" w:rsidR="00453127" w:rsidRPr="00817EA6" w:rsidRDefault="00453127" w:rsidP="009B666E">
            <w:pPr>
              <w:rPr>
                <w:lang w:val="en-GB"/>
              </w:rPr>
            </w:pPr>
          </w:p>
        </w:tc>
        <w:tc>
          <w:tcPr>
            <w:tcW w:w="1516" w:type="pct"/>
            <w:shd w:val="clear" w:color="auto" w:fill="auto"/>
          </w:tcPr>
          <w:p w14:paraId="4D35765B" w14:textId="77777777" w:rsidR="00453127" w:rsidRPr="00817EA6" w:rsidRDefault="00453127" w:rsidP="009B666E">
            <w:pPr>
              <w:pStyle w:val="RepTable"/>
            </w:pPr>
            <w:r w:rsidRPr="00817EA6">
              <w:rPr>
                <w:noProof w:val="0"/>
              </w:rPr>
              <w:t>Predicted exposure (% of ADI)</w:t>
            </w:r>
          </w:p>
        </w:tc>
        <w:tc>
          <w:tcPr>
            <w:tcW w:w="1518" w:type="pct"/>
            <w:shd w:val="clear" w:color="auto" w:fill="auto"/>
          </w:tcPr>
          <w:p w14:paraId="170A69E3" w14:textId="7101586C" w:rsidR="00453127" w:rsidRPr="00817EA6" w:rsidRDefault="00453127" w:rsidP="009B666E">
            <w:pPr>
              <w:pStyle w:val="RepTable"/>
            </w:pPr>
            <w:r w:rsidRPr="00817EA6">
              <w:t>&lt; 0.</w:t>
            </w:r>
            <w:r w:rsidR="009438C3">
              <w:t>0</w:t>
            </w:r>
            <w:r w:rsidR="00660547">
              <w:t>2</w:t>
            </w:r>
            <w:r w:rsidRPr="00817EA6">
              <w:t>% of ADI</w:t>
            </w:r>
            <w:r w:rsidR="00C45E50">
              <w:t xml:space="preserve"> </w:t>
            </w:r>
            <w:r w:rsidR="00C45E50" w:rsidRPr="00093F35">
              <w:rPr>
                <w:noProof w:val="0"/>
                <w:shd w:val="clear" w:color="auto" w:fill="BDD6EE" w:themeFill="accent5" w:themeFillTint="66"/>
              </w:rPr>
              <w:t xml:space="preserve">(=10 mg/kg </w:t>
            </w:r>
            <w:proofErr w:type="spellStart"/>
            <w:r w:rsidR="00C45E50" w:rsidRPr="00093F35">
              <w:rPr>
                <w:noProof w:val="0"/>
                <w:shd w:val="clear" w:color="auto" w:fill="BDD6EE" w:themeFill="accent5" w:themeFillTint="66"/>
              </w:rPr>
              <w:t>bw</w:t>
            </w:r>
            <w:proofErr w:type="spellEnd"/>
            <w:r w:rsidR="00C45E50" w:rsidRPr="00093F35">
              <w:rPr>
                <w:noProof w:val="0"/>
                <w:shd w:val="clear" w:color="auto" w:fill="BDD6EE" w:themeFill="accent5" w:themeFillTint="66"/>
              </w:rPr>
              <w:t>/day, EFSA Conclusion 2012)</w:t>
            </w:r>
          </w:p>
        </w:tc>
      </w:tr>
      <w:tr w:rsidR="00453127" w:rsidRPr="00817EA6" w14:paraId="7F64E798" w14:textId="77777777" w:rsidTr="009B666E">
        <w:tc>
          <w:tcPr>
            <w:tcW w:w="500" w:type="pct"/>
            <w:vMerge/>
            <w:shd w:val="clear" w:color="auto" w:fill="auto"/>
          </w:tcPr>
          <w:p w14:paraId="08AE7399" w14:textId="77777777" w:rsidR="00453127" w:rsidRPr="00817EA6" w:rsidRDefault="00453127" w:rsidP="009B666E">
            <w:pPr>
              <w:keepNext/>
              <w:rPr>
                <w:lang w:val="en-GB"/>
              </w:rPr>
            </w:pPr>
          </w:p>
        </w:tc>
        <w:tc>
          <w:tcPr>
            <w:tcW w:w="1466" w:type="pct"/>
            <w:gridSpan w:val="2"/>
            <w:shd w:val="clear" w:color="auto" w:fill="auto"/>
          </w:tcPr>
          <w:p w14:paraId="27955AA6" w14:textId="77777777" w:rsidR="00453127" w:rsidRPr="00817EA6" w:rsidRDefault="00453127" w:rsidP="009B666E">
            <w:pPr>
              <w:rPr>
                <w:lang w:val="en-GB"/>
              </w:rPr>
            </w:pPr>
          </w:p>
        </w:tc>
        <w:tc>
          <w:tcPr>
            <w:tcW w:w="1516" w:type="pct"/>
            <w:shd w:val="clear" w:color="auto" w:fill="auto"/>
          </w:tcPr>
          <w:p w14:paraId="27C35046" w14:textId="77777777" w:rsidR="00453127" w:rsidRPr="00817EA6" w:rsidRDefault="00453127" w:rsidP="009B666E">
            <w:pPr>
              <w:pStyle w:val="RepTable"/>
            </w:pPr>
            <w:r w:rsidRPr="00817EA6">
              <w:rPr>
                <w:noProof w:val="0"/>
              </w:rPr>
              <w:t>ADI based on</w:t>
            </w:r>
          </w:p>
        </w:tc>
        <w:tc>
          <w:tcPr>
            <w:tcW w:w="1518" w:type="pct"/>
            <w:shd w:val="clear" w:color="auto" w:fill="auto"/>
          </w:tcPr>
          <w:p w14:paraId="0AEB493A" w14:textId="77777777" w:rsidR="00453127" w:rsidRPr="00817EA6" w:rsidRDefault="00453127" w:rsidP="009B666E">
            <w:pPr>
              <w:pStyle w:val="RepTable"/>
            </w:pPr>
            <w:r w:rsidRPr="00817EA6">
              <w:rPr>
                <w:noProof w:val="0"/>
              </w:rPr>
              <w:t>all considered consumer groups</w:t>
            </w:r>
          </w:p>
        </w:tc>
      </w:tr>
    </w:tbl>
    <w:p w14:paraId="5D15B4E4" w14:textId="77777777" w:rsidR="00453127" w:rsidRPr="00817EA6" w:rsidRDefault="00453127" w:rsidP="00453127">
      <w:pPr>
        <w:pStyle w:val="RepTableFootnote"/>
        <w:rPr>
          <w:lang w:val="en-US"/>
        </w:rPr>
      </w:pPr>
    </w:p>
    <w:p w14:paraId="26D86E67" w14:textId="77777777" w:rsidR="00453127" w:rsidRPr="00817EA6" w:rsidRDefault="00453127" w:rsidP="00453127">
      <w:pPr>
        <w:pStyle w:val="Nagwek3"/>
      </w:pPr>
      <w:bookmarkStart w:id="172" w:name="_Toc474145443"/>
      <w:bookmarkStart w:id="173" w:name="_Toc181622181"/>
      <w:r w:rsidRPr="00817EA6">
        <w:t>STEP 1: Exclusion of degradation products of no concerns</w:t>
      </w:r>
      <w:bookmarkEnd w:id="172"/>
      <w:bookmarkEnd w:id="173"/>
    </w:p>
    <w:p w14:paraId="5810300C" w14:textId="77777777" w:rsidR="00453127" w:rsidRPr="00817EA6" w:rsidRDefault="00453127" w:rsidP="00453127">
      <w:pPr>
        <w:pStyle w:val="RepStandard"/>
      </w:pPr>
      <w:r w:rsidRPr="00817EA6">
        <w:t>Metabolite M650F04 does not meet the criteria for products of no concern as defined in step 1 of the guidance and therefore needs further assessment.</w:t>
      </w:r>
    </w:p>
    <w:p w14:paraId="03B1F9E5" w14:textId="77777777" w:rsidR="00453127" w:rsidRPr="00817EA6" w:rsidRDefault="00453127" w:rsidP="00453127">
      <w:pPr>
        <w:pStyle w:val="Nagwek3"/>
      </w:pPr>
      <w:bookmarkStart w:id="174" w:name="_Toc474145444"/>
      <w:bookmarkStart w:id="175" w:name="_Toc181622182"/>
      <w:r w:rsidRPr="00817EA6">
        <w:t>STEP 2: Quantification of potential groundwater contamination</w:t>
      </w:r>
      <w:bookmarkEnd w:id="174"/>
      <w:bookmarkEnd w:id="175"/>
    </w:p>
    <w:p w14:paraId="5DCC6EBA" w14:textId="77777777" w:rsidR="00453127" w:rsidRPr="00817EA6" w:rsidRDefault="00453127" w:rsidP="00453127">
      <w:pPr>
        <w:pStyle w:val="RepStandard"/>
        <w:rPr>
          <w:lang w:eastAsia="fr-BE"/>
        </w:rPr>
      </w:pPr>
      <w:r w:rsidRPr="00817EA6">
        <w:rPr>
          <w:lang w:eastAsia="fr-BE"/>
        </w:rPr>
        <w:t>PEC</w:t>
      </w:r>
      <w:r w:rsidRPr="00817EA6">
        <w:rPr>
          <w:sz w:val="24"/>
          <w:szCs w:val="24"/>
          <w:vertAlign w:val="subscript"/>
          <w:lang w:eastAsia="fr-BE"/>
        </w:rPr>
        <w:t>GW</w:t>
      </w:r>
      <w:r w:rsidRPr="00817EA6">
        <w:rPr>
          <w:lang w:eastAsia="fr-BE"/>
        </w:rPr>
        <w:t xml:space="preserve"> calculations after leaching from soil for </w:t>
      </w:r>
      <w:r w:rsidRPr="00817EA6">
        <w:t>M650F04</w:t>
      </w:r>
      <w:r w:rsidRPr="00817EA6">
        <w:rPr>
          <w:lang w:eastAsia="fr-BE"/>
        </w:rPr>
        <w:t xml:space="preserve"> were performed (see Part B, Section 8, chapter 8.8.2). The uses for which concentrations of </w:t>
      </w:r>
      <w:r w:rsidRPr="00817EA6">
        <w:t>M650F04</w:t>
      </w:r>
      <w:r w:rsidRPr="00817EA6">
        <w:rPr>
          <w:lang w:eastAsia="fr-BE"/>
        </w:rPr>
        <w:t xml:space="preserve"> were considered to exceed </w:t>
      </w:r>
      <w:r w:rsidRPr="00817EA6">
        <w:t>0.1 µg/L</w:t>
      </w:r>
      <w:r w:rsidRPr="00817EA6">
        <w:rPr>
          <w:lang w:eastAsia="fr-BE"/>
        </w:rPr>
        <w:t xml:space="preserve"> are listed in Table 8.1-1 (GAP table). Details are given in Part B, Section 8, chapter 8.8.</w:t>
      </w:r>
    </w:p>
    <w:p w14:paraId="06C0C756" w14:textId="77777777" w:rsidR="00453127" w:rsidRPr="00817EA6" w:rsidRDefault="00453127" w:rsidP="00453127">
      <w:pPr>
        <w:pStyle w:val="RepStandard"/>
      </w:pPr>
    </w:p>
    <w:p w14:paraId="2CABCF83" w14:textId="6934478B" w:rsidR="00453127" w:rsidRPr="00817EA6" w:rsidRDefault="00453127" w:rsidP="00453127">
      <w:pPr>
        <w:jc w:val="both"/>
      </w:pPr>
      <w:r w:rsidRPr="00817EA6">
        <w:t>The maximum PEC</w:t>
      </w:r>
      <w:r w:rsidRPr="00817EA6">
        <w:rPr>
          <w:vertAlign w:val="subscript"/>
        </w:rPr>
        <w:t>GW</w:t>
      </w:r>
      <w:r w:rsidRPr="00817EA6">
        <w:t xml:space="preserve"> calculated for M650F04 (</w:t>
      </w:r>
      <w:r w:rsidR="00446C0B" w:rsidRPr="00817EA6">
        <w:t xml:space="preserve">onion, BBCH 14, 2×240 g </w:t>
      </w:r>
      <w:proofErr w:type="spellStart"/>
      <w:r w:rsidR="00446C0B" w:rsidRPr="00817EA6">
        <w:t>a.s.</w:t>
      </w:r>
      <w:proofErr w:type="spellEnd"/>
      <w:r w:rsidR="00446C0B" w:rsidRPr="00817EA6">
        <w:t>/ha (5-d intervals), every 2</w:t>
      </w:r>
      <w:r w:rsidR="00446C0B" w:rsidRPr="00817EA6">
        <w:rPr>
          <w:vertAlign w:val="superscript"/>
        </w:rPr>
        <w:t>nd</w:t>
      </w:r>
      <w:r w:rsidR="00446C0B" w:rsidRPr="00817EA6">
        <w:t xml:space="preserve"> year</w:t>
      </w:r>
      <w:r w:rsidR="00446C0B" w:rsidRPr="00817EA6">
        <w:rPr>
          <w:lang w:eastAsia="fr-BE"/>
        </w:rPr>
        <w:t xml:space="preserve"> </w:t>
      </w:r>
      <w:r w:rsidRPr="00817EA6">
        <w:rPr>
          <w:lang w:eastAsia="fr-BE"/>
        </w:rPr>
        <w:t>application</w:t>
      </w:r>
      <w:r w:rsidRPr="00817EA6">
        <w:t xml:space="preserve">) was above 0.75 µg/L, but &lt; 10 µg/L. </w:t>
      </w:r>
    </w:p>
    <w:p w14:paraId="21DF1AEA" w14:textId="77777777" w:rsidR="00453127" w:rsidRPr="00817EA6" w:rsidRDefault="00453127" w:rsidP="00453127">
      <w:pPr>
        <w:pStyle w:val="Nagwek3"/>
      </w:pPr>
      <w:bookmarkStart w:id="176" w:name="_Toc474145445"/>
      <w:bookmarkStart w:id="177" w:name="_Toc181622183"/>
      <w:r w:rsidRPr="00817EA6">
        <w:t>STEP 3: Hazard assessment – identification of relevant metabolites</w:t>
      </w:r>
      <w:bookmarkEnd w:id="176"/>
      <w:bookmarkEnd w:id="177"/>
    </w:p>
    <w:p w14:paraId="071842ED" w14:textId="77777777" w:rsidR="00453127" w:rsidRPr="00817EA6" w:rsidRDefault="00453127" w:rsidP="00453127">
      <w:pPr>
        <w:pStyle w:val="Nagwek4"/>
        <w:rPr>
          <w:lang w:val="en-US"/>
        </w:rPr>
      </w:pPr>
      <w:bookmarkStart w:id="178" w:name="_Toc474145446"/>
      <w:bookmarkStart w:id="179" w:name="_Toc181622184"/>
      <w:r w:rsidRPr="00817EA6">
        <w:rPr>
          <w:lang w:val="en-GB"/>
        </w:rPr>
        <w:t>STEP 3, Stage 1: screening for biological activity</w:t>
      </w:r>
      <w:bookmarkEnd w:id="178"/>
      <w:bookmarkEnd w:id="179"/>
    </w:p>
    <w:p w14:paraId="48CC2F40" w14:textId="276A5995" w:rsidR="00453127" w:rsidRPr="00817EA6" w:rsidRDefault="00453127" w:rsidP="00453127">
      <w:pPr>
        <w:pStyle w:val="RepStandard"/>
      </w:pPr>
      <w:r w:rsidRPr="00817EA6">
        <w:t xml:space="preserve">Fungicidal efficacy of </w:t>
      </w:r>
      <w:proofErr w:type="spellStart"/>
      <w:r w:rsidRPr="00817EA6">
        <w:t>Ametoctradin</w:t>
      </w:r>
      <w:proofErr w:type="spellEnd"/>
      <w:r w:rsidRPr="00817EA6">
        <w:t xml:space="preserve"> metabolites was evaluated in glasshouse trials with 2 major fungal pathogens representing the fungicide profile of </w:t>
      </w:r>
      <w:proofErr w:type="spellStart"/>
      <w:r w:rsidRPr="00817EA6">
        <w:t>Ametoctradin</w:t>
      </w:r>
      <w:proofErr w:type="spellEnd"/>
      <w:r w:rsidRPr="00817EA6">
        <w:t xml:space="preserve"> (</w:t>
      </w:r>
      <w:r w:rsidRPr="00817EA6">
        <w:rPr>
          <w:i/>
          <w:iCs/>
        </w:rPr>
        <w:t xml:space="preserve">Phytophthora </w:t>
      </w:r>
      <w:proofErr w:type="spellStart"/>
      <w:r w:rsidRPr="00817EA6">
        <w:rPr>
          <w:i/>
          <w:iCs/>
        </w:rPr>
        <w:t>infestans</w:t>
      </w:r>
      <w:proofErr w:type="spellEnd"/>
      <w:r w:rsidRPr="00817EA6">
        <w:t xml:space="preserve"> and </w:t>
      </w:r>
      <w:proofErr w:type="spellStart"/>
      <w:r w:rsidRPr="00817EA6">
        <w:rPr>
          <w:rFonts w:eastAsia="SimSun"/>
          <w:i/>
          <w:iCs/>
          <w:lang w:eastAsia="zh-CN"/>
        </w:rPr>
        <w:t>Plasmopara</w:t>
      </w:r>
      <w:proofErr w:type="spellEnd"/>
      <w:r w:rsidRPr="00817EA6">
        <w:rPr>
          <w:rFonts w:eastAsia="SimSun"/>
          <w:i/>
          <w:iCs/>
          <w:lang w:eastAsia="zh-CN"/>
        </w:rPr>
        <w:t xml:space="preserve"> </w:t>
      </w:r>
      <w:proofErr w:type="spellStart"/>
      <w:r w:rsidRPr="00817EA6">
        <w:rPr>
          <w:rFonts w:eastAsia="SimSun"/>
          <w:i/>
          <w:iCs/>
          <w:lang w:eastAsia="zh-CN"/>
        </w:rPr>
        <w:t>viticola</w:t>
      </w:r>
      <w:proofErr w:type="spellEnd"/>
      <w:r w:rsidRPr="00817EA6">
        <w:t xml:space="preserve">).  None of the tested metabolites did provide significant efficacy against any of the fungal pathogens, while the parent compound </w:t>
      </w:r>
      <w:proofErr w:type="spellStart"/>
      <w:r w:rsidRPr="00817EA6">
        <w:t>Ametoctradin</w:t>
      </w:r>
      <w:proofErr w:type="spellEnd"/>
      <w:r w:rsidRPr="00817EA6">
        <w:t xml:space="preserve"> provided very good control [see former EU dossier Aug. 2008, chapter MII, 3.5.2; </w:t>
      </w:r>
      <w:r w:rsidR="008F67A4">
        <w:t>XXXX</w:t>
      </w:r>
      <w:r w:rsidRPr="00817EA6">
        <w:t xml:space="preserve"> </w:t>
      </w:r>
      <w:proofErr w:type="spellStart"/>
      <w:r w:rsidRPr="00817EA6">
        <w:t>DocID</w:t>
      </w:r>
      <w:proofErr w:type="spellEnd"/>
      <w:r w:rsidRPr="00817EA6">
        <w:t xml:space="preserve"> 2008/1021354 Merk &amp; Scherer, 2008].</w:t>
      </w:r>
    </w:p>
    <w:p w14:paraId="3FE72DAE" w14:textId="77777777" w:rsidR="00453127" w:rsidRPr="00817EA6" w:rsidRDefault="00453127" w:rsidP="00453127">
      <w:pPr>
        <w:pStyle w:val="Nagwek4"/>
        <w:rPr>
          <w:lang w:val="en-GB"/>
        </w:rPr>
      </w:pPr>
      <w:bookmarkStart w:id="180" w:name="_Toc474145447"/>
      <w:bookmarkStart w:id="181" w:name="_Toc181622185"/>
      <w:r w:rsidRPr="00817EA6">
        <w:rPr>
          <w:lang w:val="en-GB"/>
        </w:rPr>
        <w:t>STEP 3, Stage 2: screening for genotoxicity</w:t>
      </w:r>
      <w:bookmarkEnd w:id="180"/>
      <w:bookmarkEnd w:id="181"/>
    </w:p>
    <w:p w14:paraId="22D05530" w14:textId="53301175" w:rsidR="00453127" w:rsidRDefault="00453127" w:rsidP="00453127">
      <w:pPr>
        <w:pStyle w:val="RepStandard"/>
      </w:pPr>
      <w:r w:rsidRPr="00817EA6">
        <w:t xml:space="preserve">M650F04 was screened for genotoxic activity by the following data package of </w:t>
      </w:r>
      <w:r w:rsidRPr="00817EA6">
        <w:rPr>
          <w:i/>
        </w:rPr>
        <w:t>in vitro</w:t>
      </w:r>
      <w:r w:rsidRPr="00817EA6">
        <w:t xml:space="preserve"> and </w:t>
      </w:r>
      <w:r w:rsidRPr="00817EA6">
        <w:rPr>
          <w:i/>
        </w:rPr>
        <w:t>in vivo</w:t>
      </w:r>
      <w:r w:rsidRPr="00817EA6">
        <w:t xml:space="preserve"> genotoxicity studies: Ames test, </w:t>
      </w:r>
      <w:r w:rsidRPr="00817EA6">
        <w:rPr>
          <w:i/>
        </w:rPr>
        <w:t>in vitro</w:t>
      </w:r>
      <w:r w:rsidRPr="00817EA6">
        <w:t xml:space="preserve"> gene mutation test with mammalian cells, and an </w:t>
      </w:r>
      <w:r w:rsidRPr="00817EA6">
        <w:rPr>
          <w:i/>
        </w:rPr>
        <w:t>in vitro</w:t>
      </w:r>
      <w:r w:rsidRPr="00817EA6">
        <w:t xml:space="preserve"> chromosome aberration test and an </w:t>
      </w:r>
      <w:r w:rsidRPr="00817EA6">
        <w:rPr>
          <w:i/>
        </w:rPr>
        <w:t xml:space="preserve">in </w:t>
      </w:r>
      <w:r w:rsidR="00A14805" w:rsidRPr="00A14805">
        <w:rPr>
          <w:i/>
          <w:highlight w:val="yellow"/>
        </w:rPr>
        <w:t>vitro</w:t>
      </w:r>
      <w:r w:rsidRPr="00817EA6">
        <w:t xml:space="preserve"> micronucleus test. M650F04 was non-genotoxic as shown by a negative Ames test, negative gene mutation test with mammalian cells, negative chromosome aberration test </w:t>
      </w:r>
      <w:r w:rsidRPr="00817EA6">
        <w:rPr>
          <w:i/>
        </w:rPr>
        <w:t>in vitro</w:t>
      </w:r>
      <w:r w:rsidRPr="00817EA6">
        <w:t xml:space="preserve"> and </w:t>
      </w:r>
      <w:r w:rsidRPr="00817EA6">
        <w:lastRenderedPageBreak/>
        <w:t xml:space="preserve">negative micronucleus test </w:t>
      </w:r>
      <w:r w:rsidRPr="00817EA6">
        <w:rPr>
          <w:i/>
        </w:rPr>
        <w:t xml:space="preserve">in </w:t>
      </w:r>
      <w:r w:rsidRPr="00B85688">
        <w:rPr>
          <w:i/>
          <w:strike/>
          <w:color w:val="7F7F7F" w:themeColor="text1" w:themeTint="80"/>
        </w:rPr>
        <w:t>vivo</w:t>
      </w:r>
      <w:r w:rsidR="00B85688">
        <w:rPr>
          <w:i/>
        </w:rPr>
        <w:t xml:space="preserve"> </w:t>
      </w:r>
      <w:r w:rsidR="00B85688" w:rsidRPr="00561582">
        <w:rPr>
          <w:i/>
          <w:shd w:val="clear" w:color="auto" w:fill="BDD6EE" w:themeFill="accent5" w:themeFillTint="66"/>
        </w:rPr>
        <w:t>vitro</w:t>
      </w:r>
      <w:r w:rsidRPr="00817EA6">
        <w:t>. M650F04 is considered not relevant and is further evaluated in Stage 3. The genotoxicity studies are evaluated in Part B, Section 6, studies referenced in DAR (Volume 3, Annex B.6.8).</w:t>
      </w:r>
    </w:p>
    <w:p w14:paraId="70601919" w14:textId="77777777" w:rsidR="00FD4FF5" w:rsidRDefault="00FD4FF5" w:rsidP="00453127">
      <w:pPr>
        <w:pStyle w:val="RepStandard"/>
      </w:pPr>
    </w:p>
    <w:p w14:paraId="40273378" w14:textId="3D115589" w:rsidR="00F629BF" w:rsidRPr="00561582" w:rsidRDefault="00F629BF" w:rsidP="00561582">
      <w:pPr>
        <w:widowControl w:val="0"/>
        <w:shd w:val="clear" w:color="auto" w:fill="BDD6EE" w:themeFill="accent5" w:themeFillTint="66"/>
        <w:jc w:val="both"/>
        <w:rPr>
          <w:rFonts w:eastAsia="Calibri"/>
          <w:bCs/>
        </w:rPr>
      </w:pPr>
      <w:r w:rsidRPr="00561582">
        <w:rPr>
          <w:lang w:val="en-GB"/>
        </w:rPr>
        <w:t xml:space="preserve">Full summary of </w:t>
      </w:r>
      <w:r w:rsidRPr="00561582">
        <w:rPr>
          <w:i/>
          <w:lang w:val="en-GB"/>
        </w:rPr>
        <w:t>in vitro</w:t>
      </w:r>
      <w:r w:rsidRPr="00561582">
        <w:rPr>
          <w:lang w:val="en-GB"/>
        </w:rPr>
        <w:t xml:space="preserve"> MNT study (Naumann, 2019) on metabolite M650F04 that has not previously been considered within an EU peer review process is described in detail in Appendix 2 of </w:t>
      </w:r>
      <w:proofErr w:type="spellStart"/>
      <w:r w:rsidRPr="00561582">
        <w:rPr>
          <w:lang w:val="en-GB"/>
        </w:rPr>
        <w:t>fRR</w:t>
      </w:r>
      <w:proofErr w:type="spellEnd"/>
      <w:r w:rsidRPr="00561582">
        <w:rPr>
          <w:lang w:val="en-GB"/>
        </w:rPr>
        <w:t xml:space="preserve"> B6 (A 2.11 Other/Special Studies). </w:t>
      </w:r>
      <w:r w:rsidRPr="00561582">
        <w:rPr>
          <w:rFonts w:eastAsia="Calibri"/>
          <w:bCs/>
        </w:rPr>
        <w:t xml:space="preserve">M650F04 is considered to be non-mutagenic in this </w:t>
      </w:r>
      <w:r w:rsidRPr="00561582">
        <w:rPr>
          <w:rFonts w:eastAsia="Calibri"/>
          <w:bCs/>
          <w:i/>
        </w:rPr>
        <w:t>in vitro</w:t>
      </w:r>
      <w:r w:rsidRPr="00561582">
        <w:rPr>
          <w:rFonts w:eastAsia="Calibri"/>
          <w:bCs/>
        </w:rPr>
        <w:t xml:space="preserve"> micronucleus test in human lymphocytes when tested up to the highest concentration evaluated (2000 µg/mL).</w:t>
      </w:r>
    </w:p>
    <w:p w14:paraId="2DE70AD0" w14:textId="77777777" w:rsidR="00453127" w:rsidRPr="00727948" w:rsidRDefault="00453127" w:rsidP="00453127">
      <w:pPr>
        <w:pStyle w:val="Nagwek4"/>
        <w:rPr>
          <w:lang w:val="en-US"/>
        </w:rPr>
      </w:pPr>
      <w:bookmarkStart w:id="182" w:name="_Toc474145448"/>
      <w:bookmarkStart w:id="183" w:name="_Toc181622186"/>
      <w:r w:rsidRPr="00727948">
        <w:rPr>
          <w:lang w:val="en-US"/>
        </w:rPr>
        <w:t>STEP 3, Stage 3: screening for toxicity</w:t>
      </w:r>
      <w:bookmarkEnd w:id="182"/>
      <w:bookmarkEnd w:id="183"/>
    </w:p>
    <w:p w14:paraId="1396AB00" w14:textId="77777777" w:rsidR="00453127" w:rsidRDefault="00453127" w:rsidP="00453127">
      <w:pPr>
        <w:pStyle w:val="RepStandard"/>
      </w:pPr>
      <w:proofErr w:type="spellStart"/>
      <w:r w:rsidRPr="00817EA6">
        <w:t>Ametoctradin</w:t>
      </w:r>
      <w:proofErr w:type="spellEnd"/>
      <w:r w:rsidRPr="00817EA6">
        <w:t xml:space="preserve"> is not classified as acutely or chronically toxic or very toxic (Acute Tox. Cat. 1 or 2, STOT Re 1 or STOT SE according to the CLP regulation 1272/2008). </w:t>
      </w:r>
      <w:proofErr w:type="spellStart"/>
      <w:r w:rsidRPr="00817EA6">
        <w:t>Ametoctradin</w:t>
      </w:r>
      <w:proofErr w:type="spellEnd"/>
      <w:r w:rsidRPr="00817EA6">
        <w:t xml:space="preserve"> is also not classified for reproductive toxicity (</w:t>
      </w:r>
      <w:proofErr w:type="spellStart"/>
      <w:r w:rsidRPr="00817EA6">
        <w:t>Repr</w:t>
      </w:r>
      <w:proofErr w:type="spellEnd"/>
      <w:r w:rsidRPr="00817EA6">
        <w:t>. Cat 1 or 2). Also it is not classified in any category for carcinogens. In addition, semi chronic testing of M650F04 for 13 weeks in rats yielded no toxicological relevant effects up to the limit dose.</w:t>
      </w:r>
    </w:p>
    <w:p w14:paraId="2E82C80E" w14:textId="77777777" w:rsidR="00FD4FF5" w:rsidRDefault="00FD4FF5" w:rsidP="00453127">
      <w:pPr>
        <w:pStyle w:val="RepStandard"/>
      </w:pPr>
    </w:p>
    <w:p w14:paraId="2785CDAC" w14:textId="631AF2A3" w:rsidR="00B85688" w:rsidRPr="00561582" w:rsidRDefault="00B85688" w:rsidP="00561582">
      <w:pPr>
        <w:pStyle w:val="RepStandard"/>
        <w:shd w:val="clear" w:color="auto" w:fill="BDD6EE" w:themeFill="accent5" w:themeFillTint="66"/>
      </w:pPr>
      <w:r w:rsidRPr="00561582">
        <w:rPr>
          <w:bCs/>
          <w:lang w:val="en-GB"/>
        </w:rPr>
        <w:t xml:space="preserve">According to the most recent assessment at EU level (RAR April 2024) no relevant adverse findings were observed in 90-d oral study in rat. The NOAELs were 1033.5 mg/kg </w:t>
      </w:r>
      <w:proofErr w:type="spellStart"/>
      <w:r w:rsidRPr="00561582">
        <w:rPr>
          <w:bCs/>
          <w:lang w:val="en-GB"/>
        </w:rPr>
        <w:t>bw</w:t>
      </w:r>
      <w:proofErr w:type="spellEnd"/>
      <w:r w:rsidRPr="00561582">
        <w:rPr>
          <w:bCs/>
          <w:lang w:val="en-GB"/>
        </w:rPr>
        <w:t xml:space="preserve">/d (male) and 1161.4 mg/kg </w:t>
      </w:r>
      <w:proofErr w:type="spellStart"/>
      <w:r w:rsidRPr="00561582">
        <w:rPr>
          <w:bCs/>
          <w:lang w:val="en-GB"/>
        </w:rPr>
        <w:t>bw</w:t>
      </w:r>
      <w:proofErr w:type="spellEnd"/>
      <w:r w:rsidRPr="00561582">
        <w:rPr>
          <w:bCs/>
          <w:lang w:val="en-GB"/>
        </w:rPr>
        <w:t>/d (female) [</w:t>
      </w:r>
      <w:r w:rsidRPr="00561582">
        <w:rPr>
          <w:lang w:val="en-GB"/>
        </w:rPr>
        <w:t>based on DE comment received during commenting period for this dossier</w:t>
      </w:r>
      <w:r w:rsidRPr="00561582">
        <w:rPr>
          <w:bCs/>
          <w:lang w:val="en-GB"/>
        </w:rPr>
        <w:t>].</w:t>
      </w:r>
    </w:p>
    <w:p w14:paraId="162AE5E3" w14:textId="77777777" w:rsidR="00453127" w:rsidRPr="00817EA6" w:rsidRDefault="00453127" w:rsidP="00453127">
      <w:pPr>
        <w:pStyle w:val="RepStandard"/>
      </w:pPr>
    </w:p>
    <w:p w14:paraId="06C1E280" w14:textId="77777777" w:rsidR="00453127" w:rsidRPr="00817EA6" w:rsidRDefault="00453127" w:rsidP="00453127">
      <w:pPr>
        <w:pStyle w:val="RepStandard"/>
      </w:pPr>
      <w:r w:rsidRPr="00817EA6">
        <w:t>M650F04 is not considered relevant and is further evaluated in Step 4.</w:t>
      </w:r>
    </w:p>
    <w:p w14:paraId="4235CC80" w14:textId="77777777" w:rsidR="00453127" w:rsidRPr="00817EA6" w:rsidRDefault="00453127" w:rsidP="00453127">
      <w:pPr>
        <w:pStyle w:val="Nagwek3"/>
      </w:pPr>
      <w:bookmarkStart w:id="184" w:name="_Toc474145449"/>
      <w:bookmarkStart w:id="185" w:name="_Toc181622187"/>
      <w:r w:rsidRPr="00817EA6">
        <w:t>STEP 4: Exposure assessment – threshold of concern approach</w:t>
      </w:r>
      <w:bookmarkEnd w:id="184"/>
      <w:bookmarkEnd w:id="185"/>
    </w:p>
    <w:p w14:paraId="24F31EDF" w14:textId="77777777" w:rsidR="00453127" w:rsidRPr="00817EA6" w:rsidRDefault="00453127" w:rsidP="00453127">
      <w:pPr>
        <w:pStyle w:val="RepStandard"/>
      </w:pPr>
      <w:r w:rsidRPr="00817EA6">
        <w:t>The potential exposure to M650F04 is &gt; 0.75 µg/L, but &lt; 10 µg/L. A further assessment in Step 5 is required.</w:t>
      </w:r>
    </w:p>
    <w:p w14:paraId="38651E2A" w14:textId="77777777" w:rsidR="00453127" w:rsidRPr="00817EA6" w:rsidRDefault="00453127" w:rsidP="00453127">
      <w:pPr>
        <w:pStyle w:val="Nagwek3"/>
      </w:pPr>
      <w:bookmarkStart w:id="186" w:name="_Toc474145450"/>
      <w:bookmarkStart w:id="187" w:name="_Toc181622188"/>
      <w:r w:rsidRPr="00817EA6">
        <w:t>STEP 5: Refined risk assessment</w:t>
      </w:r>
      <w:bookmarkEnd w:id="186"/>
      <w:bookmarkEnd w:id="187"/>
    </w:p>
    <w:p w14:paraId="4400CB98" w14:textId="72345209" w:rsidR="009438C3" w:rsidRPr="00817EA6" w:rsidRDefault="00453127" w:rsidP="009438C3">
      <w:pPr>
        <w:pStyle w:val="RepStandard"/>
      </w:pPr>
      <w:r w:rsidRPr="00817EA6">
        <w:t>M650F04</w:t>
      </w:r>
      <w:r w:rsidRPr="00817EA6">
        <w:rPr>
          <w:color w:val="0000FF"/>
        </w:rPr>
        <w:t xml:space="preserve"> </w:t>
      </w:r>
      <w:r w:rsidRPr="00817EA6">
        <w:t>has a PEC</w:t>
      </w:r>
      <w:r w:rsidRPr="00817EA6">
        <w:rPr>
          <w:vertAlign w:val="subscript"/>
        </w:rPr>
        <w:t>GW</w:t>
      </w:r>
      <w:r w:rsidRPr="00817EA6">
        <w:t xml:space="preserve"> &gt;0.75 µg/L, but &lt; 10 µg/L. </w:t>
      </w:r>
      <w:r w:rsidR="009438C3" w:rsidRPr="00817EA6">
        <w:t xml:space="preserve">A refined assessment of the potential toxicological significance </w:t>
      </w:r>
      <w:r w:rsidR="009438C3">
        <w:t xml:space="preserve">based on the </w:t>
      </w:r>
      <w:proofErr w:type="spellStart"/>
      <w:r w:rsidR="009438C3">
        <w:t>ametoctradin</w:t>
      </w:r>
      <w:proofErr w:type="spellEnd"/>
      <w:r w:rsidR="009438C3">
        <w:t xml:space="preserve"> ADI of 10 mg/kg </w:t>
      </w:r>
      <w:proofErr w:type="spellStart"/>
      <w:r w:rsidR="009438C3">
        <w:t>bw</w:t>
      </w:r>
      <w:proofErr w:type="spellEnd"/>
      <w:r w:rsidR="009438C3">
        <w:t>/day (as stated in the EFSA Conclusion 2012) is presented below and demonstrate</w:t>
      </w:r>
      <w:r w:rsidR="00E176DE">
        <w:t>s</w:t>
      </w:r>
      <w:r w:rsidR="009438C3">
        <w:t xml:space="preserve"> an acceptable risk</w:t>
      </w:r>
      <w:r w:rsidR="009438C3" w:rsidRPr="00817EA6">
        <w:t xml:space="preserve">. </w:t>
      </w:r>
    </w:p>
    <w:p w14:paraId="1A430A80" w14:textId="6D8F5EEE" w:rsidR="00453127" w:rsidRDefault="00453127" w:rsidP="00453127">
      <w:pPr>
        <w:pStyle w:val="RepStandard"/>
      </w:pPr>
    </w:p>
    <w:p w14:paraId="5AAA3238" w14:textId="3150B0B0" w:rsidR="005E35E6" w:rsidRPr="00817EA6" w:rsidRDefault="005E35E6" w:rsidP="00453127">
      <w:pPr>
        <w:pStyle w:val="RepStandard"/>
      </w:pPr>
      <w:r w:rsidRPr="005E35E6">
        <w:t xml:space="preserve">The acceptable daily intake (ADI) of </w:t>
      </w:r>
      <w:proofErr w:type="spellStart"/>
      <w:r w:rsidRPr="005E35E6">
        <w:t>ametoctradin</w:t>
      </w:r>
      <w:proofErr w:type="spellEnd"/>
      <w:r w:rsidRPr="005E35E6">
        <w:t xml:space="preserve"> apply to the metabolite</w:t>
      </w:r>
      <w:r>
        <w:t xml:space="preserve"> </w:t>
      </w:r>
      <w:r w:rsidRPr="00817EA6">
        <w:t>M650F04</w:t>
      </w:r>
      <w:r>
        <w:t xml:space="preserve"> (according to EFSA Conclusion 2012).</w:t>
      </w:r>
    </w:p>
    <w:p w14:paraId="18F690CB" w14:textId="77777777" w:rsidR="00453127" w:rsidRDefault="00453127" w:rsidP="00453127">
      <w:pPr>
        <w:pStyle w:val="RepStandard"/>
      </w:pPr>
    </w:p>
    <w:p w14:paraId="06F9FA4E" w14:textId="77777777" w:rsidR="00460EF2" w:rsidRPr="00561582" w:rsidRDefault="00460EF2" w:rsidP="00561582">
      <w:pPr>
        <w:pStyle w:val="RepStandard"/>
        <w:shd w:val="clear" w:color="auto" w:fill="BDD6EE" w:themeFill="accent5" w:themeFillTint="66"/>
        <w:rPr>
          <w:lang w:val="en-GB"/>
        </w:rPr>
      </w:pPr>
      <w:r w:rsidRPr="00561582">
        <w:rPr>
          <w:lang w:val="en-GB"/>
        </w:rPr>
        <w:t>Based on NL comment received during commenting period for this dossier, parent equivalent concentration should be used to account for the differences in molecular weight between parent and metabolite.</w:t>
      </w:r>
    </w:p>
    <w:p w14:paraId="3F043AAF" w14:textId="77777777" w:rsidR="00460EF2" w:rsidRPr="00561582" w:rsidRDefault="00460EF2" w:rsidP="00561582">
      <w:pPr>
        <w:pStyle w:val="RepStandard"/>
        <w:shd w:val="clear" w:color="auto" w:fill="BDD6EE" w:themeFill="accent5" w:themeFillTint="66"/>
        <w:rPr>
          <w:lang w:val="en-GB"/>
        </w:rPr>
      </w:pPr>
      <w:r w:rsidRPr="00561582">
        <w:rPr>
          <w:lang w:val="en-GB"/>
        </w:rPr>
        <w:t xml:space="preserve">Parent equivalent concentration is calculated as follows: </w:t>
      </w:r>
    </w:p>
    <w:p w14:paraId="204C15D5" w14:textId="77777777" w:rsidR="00460EF2" w:rsidRPr="00EE48C5" w:rsidRDefault="00460EF2" w:rsidP="00561582">
      <w:pPr>
        <w:pStyle w:val="RepStandard"/>
        <w:shd w:val="clear" w:color="auto" w:fill="BDD6EE" w:themeFill="accent5" w:themeFillTint="66"/>
        <w:rPr>
          <w:lang w:val="en-GB"/>
        </w:rPr>
      </w:pPr>
      <w:r w:rsidRPr="00561582">
        <w:rPr>
          <w:lang w:val="en-GB"/>
        </w:rPr>
        <w:t>predic</w:t>
      </w:r>
      <w:r w:rsidRPr="00EE48C5">
        <w:rPr>
          <w:lang w:val="en-GB"/>
        </w:rPr>
        <w:t xml:space="preserve">ted max. </w:t>
      </w:r>
      <w:proofErr w:type="spellStart"/>
      <w:r w:rsidRPr="00EE48C5">
        <w:rPr>
          <w:lang w:val="en-GB"/>
        </w:rPr>
        <w:t>conc</w:t>
      </w:r>
      <w:proofErr w:type="spellEnd"/>
      <w:r w:rsidRPr="00EE48C5">
        <w:rPr>
          <w:lang w:val="en-GB"/>
        </w:rPr>
        <w:t xml:space="preserve"> metabolite / mol. weight parent x mol. weight metabolite</w:t>
      </w:r>
    </w:p>
    <w:p w14:paraId="21EE4015" w14:textId="7A012305" w:rsidR="00460EF2" w:rsidRPr="00EE48C5" w:rsidRDefault="00460EF2" w:rsidP="00561582">
      <w:pPr>
        <w:pStyle w:val="RepStandard"/>
        <w:shd w:val="clear" w:color="auto" w:fill="BDD6EE" w:themeFill="accent5" w:themeFillTint="66"/>
        <w:rPr>
          <w:lang w:val="en-GB"/>
        </w:rPr>
      </w:pPr>
      <w:r w:rsidRPr="00EE48C5">
        <w:rPr>
          <w:lang w:val="en-GB"/>
        </w:rPr>
        <w:t>For metabolite M650F04 this would lead to a parent equivalent concentration of 8.65/207.1 x 275.39 = 11.5 µg/L.</w:t>
      </w:r>
    </w:p>
    <w:p w14:paraId="2F2DB15D" w14:textId="77777777" w:rsidR="00460EF2" w:rsidRPr="00460EF2" w:rsidRDefault="00460EF2" w:rsidP="00453127">
      <w:pPr>
        <w:pStyle w:val="RepStandard"/>
        <w:rPr>
          <w:lang w:val="en-GB"/>
        </w:rPr>
      </w:pPr>
    </w:p>
    <w:p w14:paraId="71A5F318" w14:textId="77777777" w:rsidR="009438C3" w:rsidRPr="00CA781B" w:rsidRDefault="009438C3" w:rsidP="009438C3">
      <w:pPr>
        <w:pStyle w:val="RepStandard"/>
        <w:rPr>
          <w:b/>
        </w:rPr>
      </w:pPr>
      <w:r w:rsidRPr="00CA781B">
        <w:rPr>
          <w:b/>
        </w:rPr>
        <w:t xml:space="preserve">Calculation of risk (% ADI) for 5-kg bottle-fed infant (consuming 0.75 l/day): </w:t>
      </w:r>
    </w:p>
    <w:p w14:paraId="066BC926" w14:textId="33A71F4E" w:rsidR="009438C3" w:rsidRPr="0058421F" w:rsidRDefault="009438C3" w:rsidP="009438C3">
      <w:pPr>
        <w:pStyle w:val="NormalDossier"/>
        <w:suppressAutoHyphens/>
        <w:jc w:val="both"/>
        <w:rPr>
          <w:sz w:val="22"/>
          <w:szCs w:val="22"/>
        </w:rPr>
      </w:pPr>
      <w:r w:rsidRPr="00A37815">
        <w:rPr>
          <w:sz w:val="22"/>
          <w:szCs w:val="22"/>
        </w:rPr>
        <w:t xml:space="preserve">The predicted </w:t>
      </w:r>
      <w:r w:rsidRPr="0058421F">
        <w:rPr>
          <w:sz w:val="22"/>
          <w:szCs w:val="22"/>
        </w:rPr>
        <w:t xml:space="preserve">maximum level of </w:t>
      </w:r>
      <w:r w:rsidR="00B82675">
        <w:rPr>
          <w:sz w:val="22"/>
          <w:szCs w:val="22"/>
        </w:rPr>
        <w:t>M650F04</w:t>
      </w:r>
      <w:r w:rsidRPr="0058421F">
        <w:rPr>
          <w:sz w:val="22"/>
          <w:szCs w:val="22"/>
        </w:rPr>
        <w:t xml:space="preserve"> in groundwater is </w:t>
      </w:r>
      <w:r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Pr="00EE48C5">
        <w:rPr>
          <w:sz w:val="22"/>
          <w:szCs w:val="22"/>
        </w:rPr>
        <w:t xml:space="preserve"> </w:t>
      </w:r>
      <w:r w:rsidRPr="0058421F">
        <w:rPr>
          <w:sz w:val="22"/>
          <w:szCs w:val="22"/>
        </w:rPr>
        <w:t xml:space="preserve">µg/L. Therefore, the potential intake of </w:t>
      </w:r>
      <w:r>
        <w:rPr>
          <w:sz w:val="22"/>
          <w:szCs w:val="22"/>
        </w:rPr>
        <w:t xml:space="preserve">M650F04 </w:t>
      </w:r>
      <w:r w:rsidRPr="0058421F">
        <w:rPr>
          <w:sz w:val="22"/>
          <w:szCs w:val="22"/>
        </w:rPr>
        <w:t xml:space="preserve">is </w:t>
      </w:r>
      <w:r w:rsidRPr="00820383">
        <w:rPr>
          <w:strike/>
          <w:color w:val="7F7F7F" w:themeColor="text1" w:themeTint="80"/>
          <w:sz w:val="22"/>
          <w:szCs w:val="22"/>
        </w:rPr>
        <w:t>1.30</w:t>
      </w:r>
      <w:r w:rsidRPr="00820383">
        <w:rPr>
          <w:color w:val="7F7F7F" w:themeColor="text1" w:themeTint="80"/>
          <w:sz w:val="22"/>
          <w:szCs w:val="22"/>
        </w:rPr>
        <w:t xml:space="preserve"> </w:t>
      </w:r>
      <w:r w:rsidR="00820383" w:rsidRPr="00EE48C5">
        <w:rPr>
          <w:sz w:val="22"/>
          <w:szCs w:val="22"/>
          <w:shd w:val="clear" w:color="auto" w:fill="BDD6EE" w:themeFill="accent5" w:themeFillTint="66"/>
        </w:rPr>
        <w:t>1.73</w:t>
      </w:r>
      <w:r w:rsidR="00820383" w:rsidRPr="00EE48C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00460EF2"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00460EF2" w:rsidRPr="00EE48C5">
        <w:rPr>
          <w:sz w:val="22"/>
          <w:szCs w:val="22"/>
        </w:rPr>
        <w:t xml:space="preserve"> </w:t>
      </w:r>
      <w:r w:rsidRPr="0058421F">
        <w:rPr>
          <w:sz w:val="22"/>
          <w:szCs w:val="22"/>
        </w:rPr>
        <w:t>x 0.75 / 5).</w:t>
      </w:r>
      <w:r>
        <w:rPr>
          <w:sz w:val="22"/>
          <w:szCs w:val="22"/>
        </w:rPr>
        <w:t xml:space="preserve"> </w:t>
      </w:r>
      <w:r w:rsidRPr="0058421F">
        <w:rPr>
          <w:sz w:val="22"/>
          <w:szCs w:val="22"/>
        </w:rPr>
        <w:t xml:space="preserve"> This represents </w:t>
      </w:r>
      <w:r w:rsidRPr="00273DD8">
        <w:rPr>
          <w:strike/>
          <w:color w:val="7F7F7F" w:themeColor="text1" w:themeTint="80"/>
          <w:sz w:val="22"/>
          <w:szCs w:val="22"/>
        </w:rPr>
        <w:t>0.013</w:t>
      </w:r>
      <w:r w:rsidR="00273DD8" w:rsidRPr="00273DD8">
        <w:rPr>
          <w:color w:val="7F7F7F" w:themeColor="text1" w:themeTint="80"/>
          <w:sz w:val="22"/>
          <w:szCs w:val="22"/>
        </w:rPr>
        <w:t xml:space="preserve"> </w:t>
      </w:r>
      <w:r w:rsidR="00273DD8" w:rsidRPr="00EE48C5">
        <w:rPr>
          <w:bCs/>
          <w:sz w:val="22"/>
          <w:szCs w:val="22"/>
          <w:shd w:val="clear" w:color="auto" w:fill="BDD6EE" w:themeFill="accent5" w:themeFillTint="66"/>
        </w:rPr>
        <w:t>0.</w:t>
      </w:r>
      <w:r w:rsidR="00C45E50" w:rsidRPr="00EE48C5">
        <w:rPr>
          <w:bCs/>
          <w:sz w:val="22"/>
          <w:szCs w:val="22"/>
          <w:shd w:val="clear" w:color="auto" w:fill="BDD6EE" w:themeFill="accent5" w:themeFillTint="66"/>
        </w:rPr>
        <w:t>0173</w:t>
      </w:r>
      <w:r w:rsidRPr="0058421F">
        <w:rPr>
          <w:sz w:val="22"/>
          <w:szCs w:val="22"/>
        </w:rPr>
        <w:t xml:space="preserve">% of the </w:t>
      </w:r>
      <w:proofErr w:type="spellStart"/>
      <w:r>
        <w:rPr>
          <w:sz w:val="22"/>
          <w:szCs w:val="22"/>
        </w:rPr>
        <w:t>ametoctradin</w:t>
      </w:r>
      <w:proofErr w:type="spellEnd"/>
      <w:r w:rsidRPr="0058421F">
        <w:rPr>
          <w:sz w:val="22"/>
          <w:szCs w:val="22"/>
        </w:rPr>
        <w:t xml:space="preserve"> ADI (</w:t>
      </w:r>
      <w:r>
        <w:rPr>
          <w:sz w:val="22"/>
          <w:szCs w:val="22"/>
        </w:rPr>
        <w:t>10</w:t>
      </w:r>
      <w:r w:rsidRPr="0058421F">
        <w:rPr>
          <w:sz w:val="22"/>
          <w:szCs w:val="22"/>
        </w:rPr>
        <w:t xml:space="preserve"> mg/kg </w:t>
      </w:r>
      <w:proofErr w:type="spellStart"/>
      <w:r w:rsidRPr="0058421F">
        <w:rPr>
          <w:sz w:val="22"/>
          <w:szCs w:val="22"/>
        </w:rPr>
        <w:t>bw</w:t>
      </w:r>
      <w:proofErr w:type="spellEnd"/>
      <w:r w:rsidRPr="0058421F">
        <w:rPr>
          <w:sz w:val="22"/>
          <w:szCs w:val="22"/>
        </w:rPr>
        <w:t xml:space="preserve">/day) and will have a negligible impact on the TMDI of </w:t>
      </w:r>
      <w:proofErr w:type="spellStart"/>
      <w:r>
        <w:rPr>
          <w:sz w:val="22"/>
          <w:szCs w:val="22"/>
        </w:rPr>
        <w:t>ametoctradin</w:t>
      </w:r>
      <w:proofErr w:type="spellEnd"/>
      <w:r>
        <w:rPr>
          <w:sz w:val="22"/>
          <w:szCs w:val="22"/>
        </w:rPr>
        <w:t xml:space="preserve"> </w:t>
      </w:r>
      <w:r w:rsidRPr="0058421F">
        <w:rPr>
          <w:sz w:val="22"/>
          <w:szCs w:val="22"/>
        </w:rPr>
        <w:t>and its metabolites.</w:t>
      </w:r>
    </w:p>
    <w:p w14:paraId="701059CB" w14:textId="77777777" w:rsidR="009438C3" w:rsidRPr="0058421F" w:rsidRDefault="009438C3" w:rsidP="009438C3">
      <w:pPr>
        <w:pStyle w:val="RepStandard"/>
      </w:pPr>
    </w:p>
    <w:p w14:paraId="3E51BA48" w14:textId="77777777" w:rsidR="009438C3" w:rsidRPr="0058421F" w:rsidRDefault="009438C3" w:rsidP="009438C3">
      <w:pPr>
        <w:pStyle w:val="RepStandard"/>
        <w:rPr>
          <w:b/>
        </w:rPr>
      </w:pPr>
      <w:r w:rsidRPr="0058421F">
        <w:rPr>
          <w:b/>
        </w:rPr>
        <w:t xml:space="preserve">Calculation of risk (% ADI) for 10-kg child (consuming 1.0 l/day):  </w:t>
      </w:r>
    </w:p>
    <w:p w14:paraId="6064279B" w14:textId="50C06E92" w:rsidR="009438C3" w:rsidRPr="0058421F" w:rsidRDefault="009438C3" w:rsidP="009438C3">
      <w:pPr>
        <w:pStyle w:val="NormalDossier"/>
        <w:suppressAutoHyphens/>
        <w:jc w:val="both"/>
        <w:rPr>
          <w:sz w:val="22"/>
          <w:szCs w:val="22"/>
        </w:rPr>
      </w:pPr>
      <w:r w:rsidRPr="0058421F">
        <w:rPr>
          <w:sz w:val="22"/>
          <w:szCs w:val="22"/>
        </w:rPr>
        <w:lastRenderedPageBreak/>
        <w:t xml:space="preserve">The predicted maximum level of </w:t>
      </w:r>
      <w:r>
        <w:rPr>
          <w:sz w:val="22"/>
          <w:szCs w:val="22"/>
        </w:rPr>
        <w:t xml:space="preserve">M650F04 </w:t>
      </w:r>
      <w:r w:rsidRPr="0058421F">
        <w:rPr>
          <w:sz w:val="22"/>
          <w:szCs w:val="22"/>
        </w:rPr>
        <w:t xml:space="preserve">in groundwater is </w:t>
      </w:r>
      <w:r w:rsidR="00460EF2"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00460EF2" w:rsidRPr="00EE48C5">
        <w:rPr>
          <w:sz w:val="22"/>
          <w:szCs w:val="22"/>
        </w:rPr>
        <w:t xml:space="preserve"> </w:t>
      </w:r>
      <w:r w:rsidRPr="0058421F">
        <w:rPr>
          <w:sz w:val="22"/>
          <w:szCs w:val="22"/>
        </w:rPr>
        <w:t>µg/L.</w:t>
      </w:r>
      <w:r>
        <w:rPr>
          <w:sz w:val="22"/>
          <w:szCs w:val="22"/>
        </w:rPr>
        <w:t xml:space="preserve"> </w:t>
      </w:r>
      <w:r w:rsidRPr="0058421F">
        <w:rPr>
          <w:sz w:val="22"/>
          <w:szCs w:val="22"/>
        </w:rPr>
        <w:t xml:space="preserve"> Therefore, the potential intake of </w:t>
      </w:r>
      <w:r>
        <w:rPr>
          <w:sz w:val="22"/>
          <w:szCs w:val="22"/>
        </w:rPr>
        <w:t xml:space="preserve">M650F04 </w:t>
      </w:r>
      <w:r w:rsidRPr="0058421F">
        <w:rPr>
          <w:sz w:val="22"/>
          <w:szCs w:val="22"/>
        </w:rPr>
        <w:t xml:space="preserve">is </w:t>
      </w:r>
      <w:r w:rsidRPr="00820383">
        <w:rPr>
          <w:strike/>
          <w:color w:val="7F7F7F" w:themeColor="text1" w:themeTint="80"/>
          <w:sz w:val="22"/>
          <w:szCs w:val="22"/>
        </w:rPr>
        <w:t>0.87</w:t>
      </w:r>
      <w:r w:rsidR="00820383" w:rsidRPr="00820383">
        <w:rPr>
          <w:color w:val="7F7F7F" w:themeColor="text1" w:themeTint="80"/>
          <w:sz w:val="22"/>
          <w:szCs w:val="22"/>
        </w:rPr>
        <w:t xml:space="preserve"> </w:t>
      </w:r>
      <w:r w:rsidR="00820383" w:rsidRPr="00EE48C5">
        <w:rPr>
          <w:sz w:val="22"/>
          <w:szCs w:val="22"/>
          <w:shd w:val="clear" w:color="auto" w:fill="BDD6EE" w:themeFill="accent5" w:themeFillTint="66"/>
        </w:rPr>
        <w:t>1.15</w:t>
      </w:r>
      <w:r w:rsidRPr="00EE48C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00460EF2"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00460EF2" w:rsidRPr="00EE48C5">
        <w:rPr>
          <w:sz w:val="22"/>
          <w:szCs w:val="22"/>
        </w:rPr>
        <w:t xml:space="preserve"> </w:t>
      </w:r>
      <w:r w:rsidRPr="0058421F">
        <w:rPr>
          <w:sz w:val="22"/>
          <w:szCs w:val="22"/>
        </w:rPr>
        <w:t xml:space="preserve">x 1 / 10). </w:t>
      </w:r>
      <w:r>
        <w:rPr>
          <w:sz w:val="22"/>
          <w:szCs w:val="22"/>
        </w:rPr>
        <w:t xml:space="preserve"> </w:t>
      </w:r>
      <w:r w:rsidRPr="0058421F">
        <w:rPr>
          <w:sz w:val="22"/>
          <w:szCs w:val="22"/>
        </w:rPr>
        <w:t xml:space="preserve">This represents </w:t>
      </w:r>
      <w:r w:rsidRPr="00273DD8">
        <w:rPr>
          <w:strike/>
          <w:color w:val="7F7F7F" w:themeColor="text1" w:themeTint="80"/>
          <w:sz w:val="22"/>
          <w:szCs w:val="22"/>
        </w:rPr>
        <w:t>0.0087</w:t>
      </w:r>
      <w:r w:rsidR="00273DD8" w:rsidRPr="00273DD8">
        <w:rPr>
          <w:color w:val="7F7F7F" w:themeColor="text1" w:themeTint="80"/>
          <w:sz w:val="22"/>
          <w:szCs w:val="22"/>
        </w:rPr>
        <w:t xml:space="preserve"> </w:t>
      </w:r>
      <w:r w:rsidR="00273DD8" w:rsidRPr="00EE48C5">
        <w:rPr>
          <w:bCs/>
          <w:sz w:val="22"/>
          <w:szCs w:val="22"/>
          <w:shd w:val="clear" w:color="auto" w:fill="BDD6EE" w:themeFill="accent5" w:themeFillTint="66"/>
        </w:rPr>
        <w:t>0.</w:t>
      </w:r>
      <w:r w:rsidR="00C45E50" w:rsidRPr="00EE48C5">
        <w:rPr>
          <w:bCs/>
          <w:sz w:val="22"/>
          <w:szCs w:val="22"/>
          <w:shd w:val="clear" w:color="auto" w:fill="BDD6EE" w:themeFill="accent5" w:themeFillTint="66"/>
        </w:rPr>
        <w:t>0115</w:t>
      </w:r>
      <w:r w:rsidRPr="0058421F">
        <w:rPr>
          <w:sz w:val="22"/>
          <w:szCs w:val="22"/>
        </w:rPr>
        <w:t xml:space="preserve">% of the </w:t>
      </w:r>
      <w:proofErr w:type="spellStart"/>
      <w:r>
        <w:rPr>
          <w:sz w:val="22"/>
          <w:szCs w:val="22"/>
        </w:rPr>
        <w:t>ametoctradin</w:t>
      </w:r>
      <w:proofErr w:type="spellEnd"/>
      <w:r>
        <w:rPr>
          <w:sz w:val="22"/>
          <w:szCs w:val="22"/>
        </w:rPr>
        <w:t xml:space="preserve"> </w:t>
      </w:r>
      <w:r w:rsidRPr="0058421F">
        <w:rPr>
          <w:sz w:val="22"/>
          <w:szCs w:val="22"/>
        </w:rPr>
        <w:t>ADI (</w:t>
      </w:r>
      <w:r>
        <w:rPr>
          <w:sz w:val="22"/>
          <w:szCs w:val="22"/>
        </w:rPr>
        <w:t>10</w:t>
      </w:r>
      <w:r w:rsidRPr="0058421F">
        <w:rPr>
          <w:sz w:val="22"/>
          <w:szCs w:val="22"/>
        </w:rPr>
        <w:t xml:space="preserve"> mg/kg </w:t>
      </w:r>
      <w:proofErr w:type="spellStart"/>
      <w:r w:rsidRPr="0058421F">
        <w:rPr>
          <w:sz w:val="22"/>
          <w:szCs w:val="22"/>
        </w:rPr>
        <w:t>bw</w:t>
      </w:r>
      <w:proofErr w:type="spellEnd"/>
      <w:r w:rsidRPr="0058421F">
        <w:rPr>
          <w:sz w:val="22"/>
          <w:szCs w:val="22"/>
        </w:rPr>
        <w:t xml:space="preserve">/day) and will have a negligible impact on the TMDI of </w:t>
      </w:r>
      <w:proofErr w:type="spellStart"/>
      <w:r>
        <w:rPr>
          <w:sz w:val="22"/>
          <w:szCs w:val="22"/>
        </w:rPr>
        <w:t>ametoctradin</w:t>
      </w:r>
      <w:proofErr w:type="spellEnd"/>
      <w:r w:rsidRPr="0058421F">
        <w:rPr>
          <w:sz w:val="22"/>
          <w:szCs w:val="22"/>
        </w:rPr>
        <w:t xml:space="preserve"> and its metabolites.</w:t>
      </w:r>
    </w:p>
    <w:p w14:paraId="7D506223" w14:textId="77777777" w:rsidR="009438C3" w:rsidRPr="0058421F" w:rsidRDefault="009438C3" w:rsidP="009438C3">
      <w:pPr>
        <w:pStyle w:val="RepStandard"/>
      </w:pPr>
    </w:p>
    <w:p w14:paraId="0FD1CA16" w14:textId="77777777" w:rsidR="009438C3" w:rsidRPr="0058421F" w:rsidRDefault="009438C3" w:rsidP="009438C3">
      <w:pPr>
        <w:pStyle w:val="RepStandard"/>
        <w:rPr>
          <w:b/>
        </w:rPr>
      </w:pPr>
      <w:r w:rsidRPr="0058421F">
        <w:rPr>
          <w:b/>
        </w:rPr>
        <w:t xml:space="preserve">Calculation of risk (% ADI) for 60-kg adult (consuming 2.0 l/day): </w:t>
      </w:r>
    </w:p>
    <w:p w14:paraId="7E425AB9" w14:textId="2797E637" w:rsidR="009438C3" w:rsidRDefault="009438C3" w:rsidP="009438C3">
      <w:pPr>
        <w:pStyle w:val="NormalDossier"/>
        <w:suppressAutoHyphens/>
        <w:jc w:val="both"/>
        <w:rPr>
          <w:sz w:val="22"/>
          <w:szCs w:val="22"/>
        </w:rPr>
      </w:pPr>
      <w:r w:rsidRPr="0058421F">
        <w:rPr>
          <w:sz w:val="22"/>
          <w:szCs w:val="22"/>
        </w:rPr>
        <w:t xml:space="preserve">The predicted maximum level of </w:t>
      </w:r>
      <w:r w:rsidR="00B82675">
        <w:rPr>
          <w:sz w:val="22"/>
          <w:szCs w:val="22"/>
        </w:rPr>
        <w:t xml:space="preserve">M650F04 </w:t>
      </w:r>
      <w:r w:rsidRPr="0058421F">
        <w:rPr>
          <w:sz w:val="22"/>
          <w:szCs w:val="22"/>
        </w:rPr>
        <w:t xml:space="preserve">in groundwater is </w:t>
      </w:r>
      <w:r w:rsidR="00460EF2"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00460EF2" w:rsidRPr="00EE48C5">
        <w:rPr>
          <w:sz w:val="22"/>
          <w:szCs w:val="22"/>
        </w:rPr>
        <w:t xml:space="preserve"> </w:t>
      </w:r>
      <w:r w:rsidRPr="0058421F">
        <w:rPr>
          <w:sz w:val="22"/>
          <w:szCs w:val="22"/>
        </w:rPr>
        <w:t xml:space="preserve">µg/L. </w:t>
      </w:r>
      <w:r>
        <w:rPr>
          <w:sz w:val="22"/>
          <w:szCs w:val="22"/>
        </w:rPr>
        <w:t xml:space="preserve"> </w:t>
      </w:r>
      <w:r w:rsidRPr="0058421F">
        <w:rPr>
          <w:sz w:val="22"/>
          <w:szCs w:val="22"/>
        </w:rPr>
        <w:t xml:space="preserve">Therefore, the potential intake of </w:t>
      </w:r>
      <w:r>
        <w:rPr>
          <w:sz w:val="22"/>
          <w:szCs w:val="22"/>
        </w:rPr>
        <w:t xml:space="preserve">M650F04 </w:t>
      </w:r>
      <w:r w:rsidRPr="0058421F">
        <w:rPr>
          <w:sz w:val="22"/>
          <w:szCs w:val="22"/>
        </w:rPr>
        <w:t xml:space="preserve">is </w:t>
      </w:r>
      <w:r w:rsidRPr="00460EF2">
        <w:rPr>
          <w:strike/>
          <w:color w:val="7F7F7F" w:themeColor="text1" w:themeTint="80"/>
          <w:sz w:val="22"/>
          <w:szCs w:val="22"/>
        </w:rPr>
        <w:t>0.29</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0.38</w:t>
      </w:r>
      <w:r w:rsidRPr="00EE48C5">
        <w:rPr>
          <w:sz w:val="22"/>
          <w:szCs w:val="22"/>
        </w:rPr>
        <w:t xml:space="preserve"> </w:t>
      </w:r>
      <w:r w:rsidRPr="0058421F">
        <w:rPr>
          <w:sz w:val="22"/>
          <w:szCs w:val="22"/>
        </w:rPr>
        <w:t xml:space="preserve">µg/kg </w:t>
      </w:r>
      <w:proofErr w:type="spellStart"/>
      <w:r w:rsidRPr="0058421F">
        <w:rPr>
          <w:sz w:val="22"/>
          <w:szCs w:val="22"/>
        </w:rPr>
        <w:t>bw</w:t>
      </w:r>
      <w:proofErr w:type="spellEnd"/>
      <w:r w:rsidRPr="0058421F">
        <w:rPr>
          <w:sz w:val="22"/>
          <w:szCs w:val="22"/>
        </w:rPr>
        <w:t xml:space="preserve"> (</w:t>
      </w:r>
      <w:r w:rsidR="00460EF2" w:rsidRPr="00460EF2">
        <w:rPr>
          <w:strike/>
          <w:color w:val="7F7F7F" w:themeColor="text1" w:themeTint="80"/>
          <w:sz w:val="22"/>
          <w:szCs w:val="22"/>
        </w:rPr>
        <w:t>8.65</w:t>
      </w:r>
      <w:r w:rsidR="00460EF2" w:rsidRPr="00460EF2">
        <w:rPr>
          <w:color w:val="7F7F7F" w:themeColor="text1" w:themeTint="80"/>
          <w:sz w:val="22"/>
          <w:szCs w:val="22"/>
        </w:rPr>
        <w:t xml:space="preserve"> </w:t>
      </w:r>
      <w:r w:rsidR="00460EF2" w:rsidRPr="00EE48C5">
        <w:rPr>
          <w:sz w:val="22"/>
          <w:szCs w:val="22"/>
          <w:shd w:val="clear" w:color="auto" w:fill="BDD6EE" w:themeFill="accent5" w:themeFillTint="66"/>
        </w:rPr>
        <w:t>11.5</w:t>
      </w:r>
      <w:r w:rsidR="00460EF2" w:rsidRPr="00EE48C5">
        <w:rPr>
          <w:sz w:val="22"/>
          <w:szCs w:val="22"/>
        </w:rPr>
        <w:t xml:space="preserve"> </w:t>
      </w:r>
      <w:r w:rsidRPr="0058421F">
        <w:rPr>
          <w:sz w:val="22"/>
          <w:szCs w:val="22"/>
        </w:rPr>
        <w:t xml:space="preserve">x 2 / 60). </w:t>
      </w:r>
      <w:r>
        <w:rPr>
          <w:sz w:val="22"/>
          <w:szCs w:val="22"/>
        </w:rPr>
        <w:t xml:space="preserve"> </w:t>
      </w:r>
      <w:r w:rsidRPr="0058421F">
        <w:rPr>
          <w:sz w:val="22"/>
          <w:szCs w:val="22"/>
        </w:rPr>
        <w:t xml:space="preserve">This represents </w:t>
      </w:r>
      <w:r w:rsidRPr="00273DD8">
        <w:rPr>
          <w:strike/>
          <w:color w:val="7F7F7F" w:themeColor="text1" w:themeTint="80"/>
          <w:sz w:val="22"/>
          <w:szCs w:val="22"/>
        </w:rPr>
        <w:t>0.0029</w:t>
      </w:r>
      <w:r w:rsidR="00273DD8" w:rsidRPr="00273DD8">
        <w:rPr>
          <w:color w:val="7F7F7F" w:themeColor="text1" w:themeTint="80"/>
          <w:sz w:val="22"/>
          <w:szCs w:val="22"/>
        </w:rPr>
        <w:t xml:space="preserve"> </w:t>
      </w:r>
      <w:r w:rsidR="00273DD8" w:rsidRPr="00EE48C5">
        <w:rPr>
          <w:sz w:val="22"/>
          <w:szCs w:val="22"/>
          <w:shd w:val="clear" w:color="auto" w:fill="BDD6EE" w:themeFill="accent5" w:themeFillTint="66"/>
        </w:rPr>
        <w:t>0.0</w:t>
      </w:r>
      <w:r w:rsidR="00C45E50" w:rsidRPr="00EE48C5">
        <w:rPr>
          <w:sz w:val="22"/>
          <w:szCs w:val="22"/>
          <w:shd w:val="clear" w:color="auto" w:fill="BDD6EE" w:themeFill="accent5" w:themeFillTint="66"/>
        </w:rPr>
        <w:t>038</w:t>
      </w:r>
      <w:r w:rsidRPr="0058421F">
        <w:rPr>
          <w:sz w:val="22"/>
          <w:szCs w:val="22"/>
        </w:rPr>
        <w:t>%</w:t>
      </w:r>
      <w:r w:rsidRPr="00A37815">
        <w:rPr>
          <w:sz w:val="22"/>
          <w:szCs w:val="22"/>
        </w:rPr>
        <w:t xml:space="preserve"> of the </w:t>
      </w:r>
      <w:proofErr w:type="spellStart"/>
      <w:r>
        <w:rPr>
          <w:sz w:val="22"/>
          <w:szCs w:val="22"/>
        </w:rPr>
        <w:t>ametoctradin</w:t>
      </w:r>
      <w:proofErr w:type="spellEnd"/>
      <w:r>
        <w:rPr>
          <w:sz w:val="22"/>
          <w:szCs w:val="22"/>
        </w:rPr>
        <w:t xml:space="preserve"> </w:t>
      </w:r>
      <w:r w:rsidRPr="00A37815">
        <w:rPr>
          <w:sz w:val="22"/>
          <w:szCs w:val="22"/>
        </w:rPr>
        <w:t>ADI (</w:t>
      </w:r>
      <w:r w:rsidR="005A0035">
        <w:rPr>
          <w:sz w:val="22"/>
          <w:szCs w:val="22"/>
        </w:rPr>
        <w:t>10</w:t>
      </w:r>
      <w:r w:rsidRPr="00A37815">
        <w:rPr>
          <w:sz w:val="22"/>
          <w:szCs w:val="22"/>
        </w:rPr>
        <w:t xml:space="preserve"> mg/kg </w:t>
      </w:r>
      <w:proofErr w:type="spellStart"/>
      <w:r w:rsidRPr="00A37815">
        <w:rPr>
          <w:sz w:val="22"/>
          <w:szCs w:val="22"/>
        </w:rPr>
        <w:t>bw</w:t>
      </w:r>
      <w:proofErr w:type="spellEnd"/>
      <w:r w:rsidRPr="00A37815">
        <w:rPr>
          <w:sz w:val="22"/>
          <w:szCs w:val="22"/>
        </w:rPr>
        <w:t xml:space="preserve">/day) and will have a negligible impact on the TMDI of </w:t>
      </w:r>
      <w:proofErr w:type="spellStart"/>
      <w:r>
        <w:rPr>
          <w:sz w:val="22"/>
          <w:szCs w:val="22"/>
        </w:rPr>
        <w:t>ametoctradin</w:t>
      </w:r>
      <w:proofErr w:type="spellEnd"/>
      <w:r w:rsidRPr="00A37815">
        <w:rPr>
          <w:sz w:val="22"/>
          <w:szCs w:val="22"/>
        </w:rPr>
        <w:t xml:space="preserve"> and its metabolites.</w:t>
      </w:r>
    </w:p>
    <w:p w14:paraId="2AD717B6" w14:textId="77777777" w:rsidR="00F629BF" w:rsidRPr="00EE48C5" w:rsidRDefault="00F629BF" w:rsidP="00EE48C5">
      <w:pPr>
        <w:pStyle w:val="NormalDossier"/>
        <w:shd w:val="clear" w:color="auto" w:fill="BDD6EE" w:themeFill="accent5" w:themeFillTint="66"/>
        <w:suppressAutoHyphens/>
        <w:jc w:val="both"/>
        <w:rPr>
          <w:bCs/>
          <w:sz w:val="22"/>
          <w:szCs w:val="22"/>
        </w:rPr>
      </w:pPr>
      <w:r w:rsidRPr="00EE48C5">
        <w:rPr>
          <w:sz w:val="22"/>
          <w:szCs w:val="22"/>
        </w:rPr>
        <w:t xml:space="preserve">Based on DE comment received during commenting period for this dossier: </w:t>
      </w:r>
      <w:r w:rsidRPr="00EE48C5">
        <w:rPr>
          <w:bCs/>
          <w:i/>
          <w:sz w:val="22"/>
          <w:szCs w:val="22"/>
        </w:rPr>
        <w:t xml:space="preserve">the current assessment </w:t>
      </w:r>
      <w:r w:rsidRPr="00EE48C5">
        <w:rPr>
          <w:i/>
          <w:sz w:val="22"/>
          <w:szCs w:val="22"/>
        </w:rPr>
        <w:t xml:space="preserve">at EU level (RAR April 2024) </w:t>
      </w:r>
      <w:r w:rsidRPr="00EE48C5">
        <w:rPr>
          <w:bCs/>
          <w:i/>
          <w:sz w:val="22"/>
          <w:szCs w:val="22"/>
        </w:rPr>
        <w:t xml:space="preserve">resulted in a lower ADI for </w:t>
      </w:r>
      <w:proofErr w:type="spellStart"/>
      <w:r w:rsidRPr="00EE48C5">
        <w:rPr>
          <w:bCs/>
          <w:i/>
          <w:sz w:val="22"/>
          <w:szCs w:val="22"/>
        </w:rPr>
        <w:t>ametoctradin</w:t>
      </w:r>
      <w:proofErr w:type="spellEnd"/>
      <w:r w:rsidRPr="00EE48C5">
        <w:rPr>
          <w:bCs/>
          <w:i/>
          <w:sz w:val="22"/>
          <w:szCs w:val="22"/>
        </w:rPr>
        <w:t xml:space="preserve"> of 0.7 mg/kg </w:t>
      </w:r>
      <w:proofErr w:type="spellStart"/>
      <w:r w:rsidRPr="00EE48C5">
        <w:rPr>
          <w:bCs/>
          <w:i/>
          <w:sz w:val="22"/>
          <w:szCs w:val="22"/>
        </w:rPr>
        <w:t>bw</w:t>
      </w:r>
      <w:proofErr w:type="spellEnd"/>
      <w:r w:rsidRPr="00EE48C5">
        <w:rPr>
          <w:bCs/>
          <w:i/>
          <w:sz w:val="22"/>
          <w:szCs w:val="22"/>
        </w:rPr>
        <w:t>/d,</w:t>
      </w:r>
      <w:r w:rsidRPr="00EE48C5">
        <w:rPr>
          <w:i/>
          <w:sz w:val="22"/>
          <w:szCs w:val="22"/>
        </w:rPr>
        <w:t xml:space="preserve"> </w:t>
      </w:r>
      <w:r w:rsidRPr="00EE48C5">
        <w:rPr>
          <w:bCs/>
          <w:i/>
          <w:sz w:val="22"/>
          <w:szCs w:val="22"/>
        </w:rPr>
        <w:t>which could be considered here</w:t>
      </w:r>
      <w:r w:rsidRPr="00EE48C5">
        <w:rPr>
          <w:bCs/>
          <w:sz w:val="22"/>
          <w:szCs w:val="22"/>
        </w:rPr>
        <w:t xml:space="preserve">. </w:t>
      </w:r>
    </w:p>
    <w:p w14:paraId="18B5636E" w14:textId="2A0BAF1B" w:rsidR="00F629BF" w:rsidRPr="00EE48C5" w:rsidRDefault="00F629BF" w:rsidP="00EE48C5">
      <w:pPr>
        <w:pStyle w:val="NormalDossier"/>
        <w:shd w:val="clear" w:color="auto" w:fill="BDD6EE" w:themeFill="accent5" w:themeFillTint="66"/>
        <w:suppressAutoHyphens/>
        <w:jc w:val="both"/>
        <w:rPr>
          <w:sz w:val="22"/>
          <w:szCs w:val="22"/>
          <w:lang w:val="en-US"/>
        </w:rPr>
      </w:pPr>
      <w:r w:rsidRPr="00EE48C5">
        <w:rPr>
          <w:bCs/>
          <w:sz w:val="22"/>
          <w:szCs w:val="22"/>
        </w:rPr>
        <w:t xml:space="preserve">Considering the ADI of 0.7mg/kg </w:t>
      </w:r>
      <w:proofErr w:type="spellStart"/>
      <w:r w:rsidRPr="00EE48C5">
        <w:rPr>
          <w:bCs/>
          <w:sz w:val="22"/>
          <w:szCs w:val="22"/>
        </w:rPr>
        <w:t>bw</w:t>
      </w:r>
      <w:proofErr w:type="spellEnd"/>
      <w:r w:rsidRPr="00EE48C5">
        <w:rPr>
          <w:bCs/>
          <w:sz w:val="22"/>
          <w:szCs w:val="22"/>
        </w:rPr>
        <w:t>/d the consumer risk assessment still demonstrates an acceptable risk, when</w:t>
      </w:r>
      <w:r w:rsidRPr="00EE48C5">
        <w:rPr>
          <w:sz w:val="22"/>
          <w:szCs w:val="22"/>
        </w:rPr>
        <w:t xml:space="preserve"> the potential intake of metabolite M650F04 </w:t>
      </w:r>
      <w:r w:rsidRPr="00EE48C5">
        <w:rPr>
          <w:bCs/>
          <w:sz w:val="22"/>
          <w:szCs w:val="22"/>
        </w:rPr>
        <w:t>is 0.</w:t>
      </w:r>
      <w:r w:rsidR="00820383" w:rsidRPr="00EE48C5">
        <w:rPr>
          <w:bCs/>
          <w:sz w:val="22"/>
          <w:szCs w:val="22"/>
        </w:rPr>
        <w:t>25</w:t>
      </w:r>
      <w:r w:rsidRPr="00EE48C5">
        <w:rPr>
          <w:bCs/>
          <w:sz w:val="22"/>
          <w:szCs w:val="22"/>
        </w:rPr>
        <w:t xml:space="preserve"> % of ADI (infant), 0.</w:t>
      </w:r>
      <w:r w:rsidR="00820383" w:rsidRPr="00EE48C5">
        <w:rPr>
          <w:bCs/>
          <w:sz w:val="22"/>
          <w:szCs w:val="22"/>
        </w:rPr>
        <w:t>16</w:t>
      </w:r>
      <w:r w:rsidRPr="00EE48C5">
        <w:rPr>
          <w:bCs/>
          <w:sz w:val="22"/>
          <w:szCs w:val="22"/>
        </w:rPr>
        <w:t xml:space="preserve"> % of ADI (child), 0.</w:t>
      </w:r>
      <w:r w:rsidR="00820383" w:rsidRPr="00EE48C5">
        <w:rPr>
          <w:bCs/>
          <w:sz w:val="22"/>
          <w:szCs w:val="22"/>
        </w:rPr>
        <w:t>05</w:t>
      </w:r>
      <w:r w:rsidRPr="00EE48C5">
        <w:rPr>
          <w:bCs/>
          <w:sz w:val="22"/>
          <w:szCs w:val="22"/>
        </w:rPr>
        <w:t xml:space="preserve"> % of ADI (adult).</w:t>
      </w:r>
    </w:p>
    <w:p w14:paraId="5A4AE2CB" w14:textId="5CB4325D" w:rsidR="00F33C72" w:rsidRPr="00F33C72" w:rsidRDefault="00F33C72" w:rsidP="00F33C72">
      <w:pPr>
        <w:pStyle w:val="Nagwek2"/>
        <w:rPr>
          <w:highlight w:val="yellow"/>
        </w:rPr>
      </w:pPr>
      <w:bookmarkStart w:id="188" w:name="_Toc181622189"/>
      <w:r w:rsidRPr="00F33C72">
        <w:rPr>
          <w:highlight w:val="yellow"/>
        </w:rPr>
        <w:t xml:space="preserve">Cumulative risk assessment </w:t>
      </w:r>
      <w:r w:rsidR="00210BC5">
        <w:rPr>
          <w:highlight w:val="yellow"/>
        </w:rPr>
        <w:t xml:space="preserve">to </w:t>
      </w:r>
      <w:r w:rsidR="00210BC5" w:rsidRPr="00210BC5">
        <w:rPr>
          <w:highlight w:val="yellow"/>
        </w:rPr>
        <w:t>M650F03 and M650F04</w:t>
      </w:r>
      <w:bookmarkEnd w:id="188"/>
    </w:p>
    <w:p w14:paraId="1723D4F8" w14:textId="341E8592" w:rsidR="00F33C72" w:rsidRPr="00210BC5" w:rsidRDefault="00F33C72" w:rsidP="00F33C72">
      <w:pPr>
        <w:pStyle w:val="RepStandard"/>
        <w:rPr>
          <w:highlight w:val="yellow"/>
        </w:rPr>
      </w:pPr>
      <w:r w:rsidRPr="00210BC5">
        <w:rPr>
          <w:highlight w:val="yellow"/>
        </w:rPr>
        <w:t xml:space="preserve">A cumulative assessment for the potential exposure to M650F03 and M650F04 </w:t>
      </w:r>
      <w:r w:rsidR="00210BC5">
        <w:rPr>
          <w:highlight w:val="yellow"/>
        </w:rPr>
        <w:t>for</w:t>
      </w:r>
      <w:r w:rsidRPr="00210BC5">
        <w:rPr>
          <w:highlight w:val="yellow"/>
        </w:rPr>
        <w:t xml:space="preserve"> all consumer groups </w:t>
      </w:r>
      <w:r w:rsidR="00210BC5">
        <w:rPr>
          <w:highlight w:val="yellow"/>
        </w:rPr>
        <w:t xml:space="preserve">are </w:t>
      </w:r>
      <w:r w:rsidRPr="00210BC5">
        <w:rPr>
          <w:highlight w:val="yellow"/>
        </w:rPr>
        <w:t xml:space="preserve">presented below and demonstrates acceptable risk. </w:t>
      </w:r>
    </w:p>
    <w:p w14:paraId="29FB0115" w14:textId="1D655EB8" w:rsidR="00F33C72" w:rsidRPr="00210BC5" w:rsidRDefault="00F33C72" w:rsidP="00F33C72">
      <w:pPr>
        <w:pStyle w:val="RepStandard"/>
        <w:rPr>
          <w:highlight w:val="yellow"/>
        </w:rPr>
      </w:pPr>
    </w:p>
    <w:tbl>
      <w:tblPr>
        <w:tblStyle w:val="Tabela-Siatka"/>
        <w:tblW w:w="9348" w:type="dxa"/>
        <w:tblLook w:val="04A0" w:firstRow="1" w:lastRow="0" w:firstColumn="1" w:lastColumn="0" w:noHBand="0" w:noVBand="1"/>
      </w:tblPr>
      <w:tblGrid>
        <w:gridCol w:w="2349"/>
        <w:gridCol w:w="2438"/>
        <w:gridCol w:w="2374"/>
        <w:gridCol w:w="2187"/>
      </w:tblGrid>
      <w:tr w:rsidR="00AD41BC" w:rsidRPr="00210BC5" w14:paraId="0A27B8EC" w14:textId="1118ABF9" w:rsidTr="00561582">
        <w:tc>
          <w:tcPr>
            <w:tcW w:w="2349" w:type="dxa"/>
          </w:tcPr>
          <w:p w14:paraId="4EE3C084" w14:textId="2087A521" w:rsidR="00AD41BC" w:rsidRPr="00210BC5" w:rsidRDefault="00AD41BC" w:rsidP="00273DD8">
            <w:pPr>
              <w:pStyle w:val="RepStandard"/>
              <w:rPr>
                <w:b/>
                <w:bCs/>
                <w:sz w:val="20"/>
                <w:szCs w:val="20"/>
                <w:highlight w:val="yellow"/>
              </w:rPr>
            </w:pPr>
            <w:r w:rsidRPr="00210BC5">
              <w:rPr>
                <w:b/>
                <w:bCs/>
                <w:sz w:val="20"/>
                <w:szCs w:val="20"/>
                <w:highlight w:val="yellow"/>
              </w:rPr>
              <w:t xml:space="preserve">Population group </w:t>
            </w:r>
          </w:p>
        </w:tc>
        <w:tc>
          <w:tcPr>
            <w:tcW w:w="2438" w:type="dxa"/>
          </w:tcPr>
          <w:p w14:paraId="125D6158" w14:textId="3F1641EF" w:rsidR="00AD41BC" w:rsidRPr="00210BC5" w:rsidRDefault="00AD41BC" w:rsidP="00273DD8">
            <w:pPr>
              <w:pStyle w:val="RepStandard"/>
              <w:rPr>
                <w:b/>
                <w:bCs/>
                <w:sz w:val="20"/>
                <w:szCs w:val="20"/>
                <w:highlight w:val="yellow"/>
              </w:rPr>
            </w:pPr>
            <w:r w:rsidRPr="00210BC5">
              <w:rPr>
                <w:b/>
                <w:bCs/>
                <w:sz w:val="20"/>
                <w:szCs w:val="20"/>
                <w:highlight w:val="yellow"/>
              </w:rPr>
              <w:t>Metabolite</w:t>
            </w:r>
          </w:p>
        </w:tc>
        <w:tc>
          <w:tcPr>
            <w:tcW w:w="2374" w:type="dxa"/>
          </w:tcPr>
          <w:p w14:paraId="1A375B59" w14:textId="77777777" w:rsidR="00AD41BC" w:rsidRDefault="00AD41BC" w:rsidP="00273DD8">
            <w:pPr>
              <w:pStyle w:val="RepStandard"/>
              <w:rPr>
                <w:b/>
                <w:bCs/>
                <w:sz w:val="20"/>
                <w:szCs w:val="20"/>
                <w:highlight w:val="yellow"/>
              </w:rPr>
            </w:pPr>
            <w:r w:rsidRPr="00210BC5">
              <w:rPr>
                <w:b/>
                <w:bCs/>
                <w:sz w:val="20"/>
                <w:szCs w:val="20"/>
                <w:highlight w:val="yellow"/>
              </w:rPr>
              <w:t>Estimated exposure / ADI (%)</w:t>
            </w:r>
          </w:p>
          <w:p w14:paraId="236C3B32" w14:textId="1499C7EC" w:rsidR="00AD41BC" w:rsidRPr="00F629BF" w:rsidRDefault="00AD41BC" w:rsidP="00273DD8">
            <w:pPr>
              <w:pStyle w:val="RepStandard"/>
              <w:rPr>
                <w:b/>
                <w:bCs/>
                <w:sz w:val="20"/>
                <w:szCs w:val="20"/>
                <w:highlight w:val="yellow"/>
              </w:rPr>
            </w:pPr>
            <w:r w:rsidRPr="00561582">
              <w:rPr>
                <w:sz w:val="20"/>
                <w:szCs w:val="20"/>
                <w:shd w:val="clear" w:color="auto" w:fill="BDD6EE" w:themeFill="accent5" w:themeFillTint="66"/>
              </w:rPr>
              <w:t xml:space="preserve">ADI = 10 mg/kg </w:t>
            </w:r>
            <w:proofErr w:type="spellStart"/>
            <w:r w:rsidRPr="00561582">
              <w:rPr>
                <w:sz w:val="20"/>
                <w:szCs w:val="20"/>
                <w:shd w:val="clear" w:color="auto" w:fill="BDD6EE" w:themeFill="accent5" w:themeFillTint="66"/>
              </w:rPr>
              <w:t>bw</w:t>
            </w:r>
            <w:proofErr w:type="spellEnd"/>
            <w:r w:rsidRPr="00561582">
              <w:rPr>
                <w:sz w:val="20"/>
                <w:szCs w:val="20"/>
                <w:shd w:val="clear" w:color="auto" w:fill="BDD6EE" w:themeFill="accent5" w:themeFillTint="66"/>
              </w:rPr>
              <w:t>/day (EFSA Conclusion 2012)</w:t>
            </w:r>
          </w:p>
        </w:tc>
        <w:tc>
          <w:tcPr>
            <w:tcW w:w="2187" w:type="dxa"/>
            <w:shd w:val="clear" w:color="auto" w:fill="BDD6EE" w:themeFill="accent5" w:themeFillTint="66"/>
          </w:tcPr>
          <w:p w14:paraId="6B176723" w14:textId="77777777" w:rsidR="00AD41BC" w:rsidRPr="00561582" w:rsidRDefault="00AD41BC" w:rsidP="00273DD8">
            <w:pPr>
              <w:pStyle w:val="RepStandard"/>
              <w:rPr>
                <w:b/>
                <w:bCs/>
                <w:sz w:val="20"/>
                <w:szCs w:val="20"/>
              </w:rPr>
            </w:pPr>
            <w:r w:rsidRPr="00561582">
              <w:rPr>
                <w:b/>
                <w:bCs/>
                <w:sz w:val="20"/>
                <w:szCs w:val="20"/>
              </w:rPr>
              <w:t>Estimated exposure / ADI (%)</w:t>
            </w:r>
          </w:p>
          <w:p w14:paraId="764CF32D" w14:textId="1BEDAD58" w:rsidR="00AD41BC" w:rsidRPr="00561582" w:rsidRDefault="00AD41BC" w:rsidP="00273DD8">
            <w:pPr>
              <w:pStyle w:val="RepStandard"/>
              <w:rPr>
                <w:b/>
                <w:bCs/>
                <w:sz w:val="20"/>
                <w:szCs w:val="20"/>
              </w:rPr>
            </w:pPr>
            <w:r w:rsidRPr="00561582">
              <w:rPr>
                <w:sz w:val="20"/>
                <w:szCs w:val="20"/>
              </w:rPr>
              <w:t xml:space="preserve">ADI = 0,7 mg/kg </w:t>
            </w:r>
            <w:proofErr w:type="spellStart"/>
            <w:r w:rsidRPr="00561582">
              <w:rPr>
                <w:sz w:val="20"/>
                <w:szCs w:val="20"/>
              </w:rPr>
              <w:t>bw</w:t>
            </w:r>
            <w:proofErr w:type="spellEnd"/>
            <w:r w:rsidRPr="00561582">
              <w:rPr>
                <w:sz w:val="20"/>
                <w:szCs w:val="20"/>
              </w:rPr>
              <w:t>/day (as proposed in the draft RAR April 2024, RMS: DE)</w:t>
            </w:r>
          </w:p>
        </w:tc>
      </w:tr>
      <w:tr w:rsidR="00AD41BC" w:rsidRPr="00210BC5" w14:paraId="06610426" w14:textId="23D4D52F" w:rsidTr="00EE48C5">
        <w:tc>
          <w:tcPr>
            <w:tcW w:w="2349" w:type="dxa"/>
            <w:vMerge w:val="restart"/>
          </w:tcPr>
          <w:p w14:paraId="30EDDB5A" w14:textId="1212582B" w:rsidR="00AD41BC" w:rsidRPr="00210BC5" w:rsidRDefault="00AD41BC" w:rsidP="00273DD8">
            <w:pPr>
              <w:pStyle w:val="RepStandard"/>
              <w:rPr>
                <w:sz w:val="20"/>
                <w:szCs w:val="20"/>
                <w:highlight w:val="yellow"/>
              </w:rPr>
            </w:pPr>
            <w:r w:rsidRPr="00210BC5">
              <w:rPr>
                <w:sz w:val="20"/>
                <w:szCs w:val="20"/>
                <w:highlight w:val="yellow"/>
              </w:rPr>
              <w:t xml:space="preserve">Toddler </w:t>
            </w:r>
          </w:p>
        </w:tc>
        <w:tc>
          <w:tcPr>
            <w:tcW w:w="2438" w:type="dxa"/>
          </w:tcPr>
          <w:p w14:paraId="3004C637" w14:textId="3C40E9B7" w:rsidR="00AD41BC" w:rsidRPr="00210BC5" w:rsidRDefault="00AD41BC" w:rsidP="00273DD8">
            <w:pPr>
              <w:pStyle w:val="RepStandard"/>
              <w:rPr>
                <w:sz w:val="20"/>
                <w:szCs w:val="20"/>
                <w:highlight w:val="yellow"/>
              </w:rPr>
            </w:pPr>
            <w:r w:rsidRPr="00210BC5">
              <w:rPr>
                <w:sz w:val="20"/>
                <w:szCs w:val="20"/>
                <w:highlight w:val="yellow"/>
              </w:rPr>
              <w:t>M650F03</w:t>
            </w:r>
          </w:p>
        </w:tc>
        <w:tc>
          <w:tcPr>
            <w:tcW w:w="2374" w:type="dxa"/>
            <w:shd w:val="clear" w:color="auto" w:fill="BDD6EE" w:themeFill="accent5" w:themeFillTint="66"/>
          </w:tcPr>
          <w:p w14:paraId="1D496D7C"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0.0067</w:t>
            </w:r>
          </w:p>
          <w:p w14:paraId="42350080" w14:textId="24F9FD40" w:rsidR="00820383" w:rsidRPr="00EE48C5" w:rsidRDefault="00820383" w:rsidP="00273DD8">
            <w:pPr>
              <w:pStyle w:val="RepStandard"/>
              <w:rPr>
                <w:sz w:val="20"/>
                <w:szCs w:val="20"/>
              </w:rPr>
            </w:pPr>
            <w:r w:rsidRPr="00EE48C5">
              <w:rPr>
                <w:sz w:val="20"/>
                <w:szCs w:val="20"/>
              </w:rPr>
              <w:t>0.0081</w:t>
            </w:r>
          </w:p>
        </w:tc>
        <w:tc>
          <w:tcPr>
            <w:tcW w:w="2187" w:type="dxa"/>
            <w:shd w:val="clear" w:color="auto" w:fill="BDD6EE" w:themeFill="accent5" w:themeFillTint="66"/>
          </w:tcPr>
          <w:p w14:paraId="5DC6EA61" w14:textId="34AFF4F3" w:rsidR="00AD41BC" w:rsidRPr="00561582" w:rsidRDefault="00820383" w:rsidP="00273DD8">
            <w:pPr>
              <w:pStyle w:val="RepStandard"/>
              <w:rPr>
                <w:sz w:val="20"/>
                <w:szCs w:val="20"/>
              </w:rPr>
            </w:pPr>
            <w:r w:rsidRPr="00561582">
              <w:rPr>
                <w:sz w:val="20"/>
                <w:szCs w:val="20"/>
              </w:rPr>
              <w:t>0.12</w:t>
            </w:r>
          </w:p>
        </w:tc>
      </w:tr>
      <w:tr w:rsidR="00AD41BC" w:rsidRPr="00210BC5" w14:paraId="4569B26E" w14:textId="0FCC9FA7" w:rsidTr="00EE48C5">
        <w:tc>
          <w:tcPr>
            <w:tcW w:w="2349" w:type="dxa"/>
            <w:vMerge/>
          </w:tcPr>
          <w:p w14:paraId="4AE218CB" w14:textId="77777777" w:rsidR="00AD41BC" w:rsidRPr="00210BC5" w:rsidRDefault="00AD41BC" w:rsidP="00273DD8">
            <w:pPr>
              <w:pStyle w:val="RepStandard"/>
              <w:rPr>
                <w:sz w:val="20"/>
                <w:szCs w:val="20"/>
                <w:highlight w:val="yellow"/>
              </w:rPr>
            </w:pPr>
          </w:p>
        </w:tc>
        <w:tc>
          <w:tcPr>
            <w:tcW w:w="2438" w:type="dxa"/>
          </w:tcPr>
          <w:p w14:paraId="5EDE0287" w14:textId="7E351C8A" w:rsidR="00AD41BC" w:rsidRPr="00210BC5" w:rsidRDefault="00AD41BC" w:rsidP="00273DD8">
            <w:pPr>
              <w:pStyle w:val="RepStandard"/>
              <w:rPr>
                <w:sz w:val="20"/>
                <w:szCs w:val="20"/>
                <w:highlight w:val="yellow"/>
              </w:rPr>
            </w:pPr>
            <w:r w:rsidRPr="00210BC5">
              <w:rPr>
                <w:sz w:val="20"/>
                <w:szCs w:val="20"/>
                <w:highlight w:val="yellow"/>
              </w:rPr>
              <w:t>M650F04</w:t>
            </w:r>
          </w:p>
        </w:tc>
        <w:tc>
          <w:tcPr>
            <w:tcW w:w="2374" w:type="dxa"/>
            <w:shd w:val="clear" w:color="auto" w:fill="BDD6EE" w:themeFill="accent5" w:themeFillTint="66"/>
          </w:tcPr>
          <w:p w14:paraId="3606F344"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0.013</w:t>
            </w:r>
          </w:p>
          <w:p w14:paraId="0613ECA2" w14:textId="748DF648" w:rsidR="00820383" w:rsidRPr="00EE48C5" w:rsidRDefault="00820383" w:rsidP="00273DD8">
            <w:pPr>
              <w:pStyle w:val="RepStandard"/>
              <w:rPr>
                <w:sz w:val="20"/>
                <w:szCs w:val="20"/>
              </w:rPr>
            </w:pPr>
            <w:r w:rsidRPr="00EE48C5">
              <w:rPr>
                <w:sz w:val="20"/>
                <w:szCs w:val="20"/>
              </w:rPr>
              <w:t>0.0173</w:t>
            </w:r>
          </w:p>
        </w:tc>
        <w:tc>
          <w:tcPr>
            <w:tcW w:w="2187" w:type="dxa"/>
            <w:shd w:val="clear" w:color="auto" w:fill="BDD6EE" w:themeFill="accent5" w:themeFillTint="66"/>
          </w:tcPr>
          <w:p w14:paraId="1A2E04AB" w14:textId="282C2FE6" w:rsidR="00AD41BC" w:rsidRPr="00561582" w:rsidRDefault="00273DD8" w:rsidP="00273DD8">
            <w:pPr>
              <w:pStyle w:val="RepStandard"/>
              <w:rPr>
                <w:sz w:val="20"/>
                <w:szCs w:val="20"/>
              </w:rPr>
            </w:pPr>
            <w:r w:rsidRPr="00561582">
              <w:rPr>
                <w:sz w:val="20"/>
                <w:szCs w:val="20"/>
              </w:rPr>
              <w:t>0.25</w:t>
            </w:r>
          </w:p>
        </w:tc>
      </w:tr>
      <w:tr w:rsidR="00AD41BC" w:rsidRPr="00210BC5" w14:paraId="2E43313A" w14:textId="2E5FE43B" w:rsidTr="00EE48C5">
        <w:tc>
          <w:tcPr>
            <w:tcW w:w="2349" w:type="dxa"/>
            <w:vMerge/>
          </w:tcPr>
          <w:p w14:paraId="12AA9362" w14:textId="77777777" w:rsidR="00AD41BC" w:rsidRPr="00210BC5" w:rsidRDefault="00AD41BC" w:rsidP="00273DD8">
            <w:pPr>
              <w:pStyle w:val="RepStandard"/>
              <w:rPr>
                <w:sz w:val="20"/>
                <w:szCs w:val="20"/>
                <w:highlight w:val="yellow"/>
              </w:rPr>
            </w:pPr>
          </w:p>
        </w:tc>
        <w:tc>
          <w:tcPr>
            <w:tcW w:w="2438" w:type="dxa"/>
          </w:tcPr>
          <w:p w14:paraId="34E4D757" w14:textId="6AC614C7" w:rsidR="00AD41BC" w:rsidRPr="00210BC5" w:rsidRDefault="00AD41BC" w:rsidP="00273DD8">
            <w:pPr>
              <w:pStyle w:val="RepStandard"/>
              <w:rPr>
                <w:b/>
                <w:bCs/>
                <w:sz w:val="20"/>
                <w:szCs w:val="20"/>
                <w:highlight w:val="yellow"/>
              </w:rPr>
            </w:pPr>
            <w:r w:rsidRPr="00210BC5">
              <w:rPr>
                <w:b/>
                <w:bCs/>
                <w:sz w:val="20"/>
                <w:szCs w:val="20"/>
                <w:highlight w:val="yellow"/>
              </w:rPr>
              <w:t>Cumulative risk (%)</w:t>
            </w:r>
          </w:p>
        </w:tc>
        <w:tc>
          <w:tcPr>
            <w:tcW w:w="2374" w:type="dxa"/>
            <w:shd w:val="clear" w:color="auto" w:fill="BDD6EE" w:themeFill="accent5" w:themeFillTint="66"/>
          </w:tcPr>
          <w:p w14:paraId="3C0CAB23" w14:textId="77777777" w:rsidR="00AD41BC" w:rsidRPr="00EE48C5" w:rsidRDefault="00AD41BC" w:rsidP="00273DD8">
            <w:pPr>
              <w:pStyle w:val="RepStandard"/>
              <w:rPr>
                <w:b/>
                <w:bCs/>
                <w:strike/>
                <w:color w:val="808080" w:themeColor="background1" w:themeShade="80"/>
                <w:sz w:val="20"/>
                <w:szCs w:val="20"/>
              </w:rPr>
            </w:pPr>
            <w:r w:rsidRPr="00EE48C5">
              <w:rPr>
                <w:b/>
                <w:bCs/>
                <w:strike/>
                <w:color w:val="808080" w:themeColor="background1" w:themeShade="80"/>
                <w:sz w:val="20"/>
                <w:szCs w:val="20"/>
              </w:rPr>
              <w:t>0.02</w:t>
            </w:r>
          </w:p>
          <w:p w14:paraId="4A25FC0C" w14:textId="4D0E43B1" w:rsidR="00273DD8" w:rsidRPr="00EE48C5" w:rsidRDefault="00273DD8" w:rsidP="00273DD8">
            <w:pPr>
              <w:pStyle w:val="RepStandard"/>
              <w:rPr>
                <w:b/>
                <w:bCs/>
                <w:sz w:val="20"/>
                <w:szCs w:val="20"/>
              </w:rPr>
            </w:pPr>
            <w:r w:rsidRPr="00EE48C5">
              <w:rPr>
                <w:b/>
                <w:bCs/>
                <w:sz w:val="20"/>
                <w:szCs w:val="20"/>
              </w:rPr>
              <w:t>0.08</w:t>
            </w:r>
          </w:p>
        </w:tc>
        <w:tc>
          <w:tcPr>
            <w:tcW w:w="2187" w:type="dxa"/>
            <w:shd w:val="clear" w:color="auto" w:fill="BDD6EE" w:themeFill="accent5" w:themeFillTint="66"/>
          </w:tcPr>
          <w:p w14:paraId="2B20CE23" w14:textId="2E89084D" w:rsidR="00AD41BC" w:rsidRPr="00561582" w:rsidRDefault="00AD41BC" w:rsidP="00273DD8">
            <w:pPr>
              <w:pStyle w:val="RepStandard"/>
              <w:rPr>
                <w:b/>
                <w:bCs/>
                <w:sz w:val="20"/>
                <w:szCs w:val="20"/>
              </w:rPr>
            </w:pPr>
            <w:r w:rsidRPr="00561582">
              <w:rPr>
                <w:b/>
                <w:bCs/>
                <w:sz w:val="20"/>
                <w:szCs w:val="20"/>
              </w:rPr>
              <w:t>0.</w:t>
            </w:r>
            <w:r w:rsidR="00273DD8" w:rsidRPr="00561582">
              <w:rPr>
                <w:b/>
                <w:bCs/>
                <w:sz w:val="20"/>
                <w:szCs w:val="20"/>
              </w:rPr>
              <w:t>37</w:t>
            </w:r>
          </w:p>
        </w:tc>
      </w:tr>
      <w:tr w:rsidR="00AD41BC" w:rsidRPr="00210BC5" w14:paraId="4B180210" w14:textId="79F6AA72" w:rsidTr="00EE48C5">
        <w:tc>
          <w:tcPr>
            <w:tcW w:w="2349" w:type="dxa"/>
            <w:vMerge w:val="restart"/>
          </w:tcPr>
          <w:p w14:paraId="52E8CA85" w14:textId="23B0E6F0" w:rsidR="00AD41BC" w:rsidRPr="00210BC5" w:rsidRDefault="00AD41BC" w:rsidP="00273DD8">
            <w:pPr>
              <w:pStyle w:val="RepStandard"/>
              <w:rPr>
                <w:sz w:val="20"/>
                <w:szCs w:val="20"/>
                <w:highlight w:val="yellow"/>
              </w:rPr>
            </w:pPr>
            <w:r w:rsidRPr="00210BC5">
              <w:rPr>
                <w:sz w:val="20"/>
                <w:szCs w:val="20"/>
                <w:highlight w:val="yellow"/>
              </w:rPr>
              <w:t xml:space="preserve">Child </w:t>
            </w:r>
          </w:p>
        </w:tc>
        <w:tc>
          <w:tcPr>
            <w:tcW w:w="2438" w:type="dxa"/>
          </w:tcPr>
          <w:p w14:paraId="47AE2A4E" w14:textId="1F146D3C" w:rsidR="00AD41BC" w:rsidRPr="00210BC5" w:rsidRDefault="00AD41BC" w:rsidP="00273DD8">
            <w:pPr>
              <w:pStyle w:val="RepStandard"/>
              <w:rPr>
                <w:sz w:val="20"/>
                <w:szCs w:val="20"/>
                <w:highlight w:val="yellow"/>
              </w:rPr>
            </w:pPr>
            <w:r w:rsidRPr="00210BC5">
              <w:rPr>
                <w:sz w:val="20"/>
                <w:szCs w:val="20"/>
                <w:highlight w:val="yellow"/>
              </w:rPr>
              <w:t>M650F03</w:t>
            </w:r>
          </w:p>
        </w:tc>
        <w:tc>
          <w:tcPr>
            <w:tcW w:w="2374" w:type="dxa"/>
            <w:shd w:val="clear" w:color="auto" w:fill="BDD6EE" w:themeFill="accent5" w:themeFillTint="66"/>
          </w:tcPr>
          <w:p w14:paraId="25753381"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0.0045</w:t>
            </w:r>
          </w:p>
          <w:p w14:paraId="7F99D1F1" w14:textId="1C4598A2" w:rsidR="00820383" w:rsidRPr="00EE48C5" w:rsidRDefault="00820383" w:rsidP="00273DD8">
            <w:pPr>
              <w:pStyle w:val="RepStandard"/>
              <w:rPr>
                <w:sz w:val="20"/>
                <w:szCs w:val="20"/>
              </w:rPr>
            </w:pPr>
            <w:r w:rsidRPr="00EE48C5">
              <w:rPr>
                <w:sz w:val="20"/>
                <w:szCs w:val="20"/>
              </w:rPr>
              <w:t>0.0054</w:t>
            </w:r>
          </w:p>
        </w:tc>
        <w:tc>
          <w:tcPr>
            <w:tcW w:w="2187" w:type="dxa"/>
            <w:shd w:val="clear" w:color="auto" w:fill="BDD6EE" w:themeFill="accent5" w:themeFillTint="66"/>
          </w:tcPr>
          <w:p w14:paraId="62934381" w14:textId="11F9A113" w:rsidR="00AD41BC" w:rsidRPr="00561582" w:rsidRDefault="00820383" w:rsidP="00273DD8">
            <w:pPr>
              <w:pStyle w:val="RepStandard"/>
              <w:rPr>
                <w:sz w:val="20"/>
                <w:szCs w:val="20"/>
              </w:rPr>
            </w:pPr>
            <w:r w:rsidRPr="00561582">
              <w:rPr>
                <w:sz w:val="20"/>
                <w:szCs w:val="20"/>
              </w:rPr>
              <w:t>0.08</w:t>
            </w:r>
          </w:p>
        </w:tc>
      </w:tr>
      <w:tr w:rsidR="00AD41BC" w:rsidRPr="00210BC5" w14:paraId="15121CCD" w14:textId="1DF675D3" w:rsidTr="00EE48C5">
        <w:tc>
          <w:tcPr>
            <w:tcW w:w="2349" w:type="dxa"/>
            <w:vMerge/>
          </w:tcPr>
          <w:p w14:paraId="06A4D82C" w14:textId="77777777" w:rsidR="00AD41BC" w:rsidRPr="00210BC5" w:rsidRDefault="00AD41BC" w:rsidP="00273DD8">
            <w:pPr>
              <w:pStyle w:val="RepStandard"/>
              <w:rPr>
                <w:sz w:val="20"/>
                <w:szCs w:val="20"/>
                <w:highlight w:val="yellow"/>
              </w:rPr>
            </w:pPr>
          </w:p>
        </w:tc>
        <w:tc>
          <w:tcPr>
            <w:tcW w:w="2438" w:type="dxa"/>
          </w:tcPr>
          <w:p w14:paraId="7D05BDD6" w14:textId="6DAF5390" w:rsidR="00AD41BC" w:rsidRPr="00210BC5" w:rsidRDefault="00AD41BC" w:rsidP="00273DD8">
            <w:pPr>
              <w:pStyle w:val="RepStandard"/>
              <w:rPr>
                <w:sz w:val="20"/>
                <w:szCs w:val="20"/>
                <w:highlight w:val="yellow"/>
              </w:rPr>
            </w:pPr>
            <w:r w:rsidRPr="00210BC5">
              <w:rPr>
                <w:sz w:val="20"/>
                <w:szCs w:val="20"/>
                <w:highlight w:val="yellow"/>
              </w:rPr>
              <w:t>M650F04</w:t>
            </w:r>
          </w:p>
        </w:tc>
        <w:tc>
          <w:tcPr>
            <w:tcW w:w="2374" w:type="dxa"/>
            <w:shd w:val="clear" w:color="auto" w:fill="BDD6EE" w:themeFill="accent5" w:themeFillTint="66"/>
          </w:tcPr>
          <w:p w14:paraId="38A709DB"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0.0087</w:t>
            </w:r>
          </w:p>
          <w:p w14:paraId="6050C13D" w14:textId="052E2FC8" w:rsidR="00820383" w:rsidRPr="00EE48C5" w:rsidRDefault="00820383" w:rsidP="00273DD8">
            <w:pPr>
              <w:pStyle w:val="RepStandard"/>
              <w:rPr>
                <w:sz w:val="20"/>
                <w:szCs w:val="20"/>
              </w:rPr>
            </w:pPr>
            <w:r w:rsidRPr="00EE48C5">
              <w:rPr>
                <w:sz w:val="20"/>
                <w:szCs w:val="20"/>
              </w:rPr>
              <w:t>0.0115</w:t>
            </w:r>
          </w:p>
        </w:tc>
        <w:tc>
          <w:tcPr>
            <w:tcW w:w="2187" w:type="dxa"/>
            <w:shd w:val="clear" w:color="auto" w:fill="BDD6EE" w:themeFill="accent5" w:themeFillTint="66"/>
          </w:tcPr>
          <w:p w14:paraId="59FC4274" w14:textId="398B8153" w:rsidR="00AD41BC" w:rsidRPr="00561582" w:rsidRDefault="00AD41BC" w:rsidP="00273DD8">
            <w:pPr>
              <w:pStyle w:val="RepStandard"/>
              <w:rPr>
                <w:sz w:val="20"/>
                <w:szCs w:val="20"/>
              </w:rPr>
            </w:pPr>
            <w:r w:rsidRPr="00561582">
              <w:rPr>
                <w:sz w:val="20"/>
                <w:szCs w:val="20"/>
              </w:rPr>
              <w:t>0.1</w:t>
            </w:r>
            <w:r w:rsidR="00273DD8" w:rsidRPr="00561582">
              <w:rPr>
                <w:sz w:val="20"/>
                <w:szCs w:val="20"/>
              </w:rPr>
              <w:t>6</w:t>
            </w:r>
          </w:p>
        </w:tc>
      </w:tr>
      <w:tr w:rsidR="00AD41BC" w:rsidRPr="00210BC5" w14:paraId="68E907C8" w14:textId="5523402F" w:rsidTr="00EE48C5">
        <w:tc>
          <w:tcPr>
            <w:tcW w:w="2349" w:type="dxa"/>
            <w:vMerge/>
          </w:tcPr>
          <w:p w14:paraId="1F39C8F9" w14:textId="77777777" w:rsidR="00AD41BC" w:rsidRPr="00210BC5" w:rsidRDefault="00AD41BC" w:rsidP="00273DD8">
            <w:pPr>
              <w:pStyle w:val="RepStandard"/>
              <w:rPr>
                <w:sz w:val="20"/>
                <w:szCs w:val="20"/>
                <w:highlight w:val="yellow"/>
              </w:rPr>
            </w:pPr>
          </w:p>
        </w:tc>
        <w:tc>
          <w:tcPr>
            <w:tcW w:w="2438" w:type="dxa"/>
          </w:tcPr>
          <w:p w14:paraId="06DFBB86" w14:textId="52F66837" w:rsidR="00AD41BC" w:rsidRPr="00210BC5" w:rsidRDefault="00AD41BC" w:rsidP="00273DD8">
            <w:pPr>
              <w:pStyle w:val="RepStandard"/>
              <w:rPr>
                <w:sz w:val="20"/>
                <w:szCs w:val="20"/>
                <w:highlight w:val="yellow"/>
              </w:rPr>
            </w:pPr>
            <w:r w:rsidRPr="00210BC5">
              <w:rPr>
                <w:b/>
                <w:bCs/>
                <w:sz w:val="20"/>
                <w:szCs w:val="20"/>
                <w:highlight w:val="yellow"/>
              </w:rPr>
              <w:t>Cumulative risk (%)</w:t>
            </w:r>
          </w:p>
        </w:tc>
        <w:tc>
          <w:tcPr>
            <w:tcW w:w="2374" w:type="dxa"/>
            <w:shd w:val="clear" w:color="auto" w:fill="BDD6EE" w:themeFill="accent5" w:themeFillTint="66"/>
          </w:tcPr>
          <w:p w14:paraId="3747BF4F" w14:textId="77777777" w:rsidR="00AD41BC" w:rsidRPr="00EE48C5" w:rsidRDefault="00AD41BC" w:rsidP="00273DD8">
            <w:pPr>
              <w:pStyle w:val="RepStandard"/>
              <w:rPr>
                <w:b/>
                <w:bCs/>
                <w:strike/>
                <w:color w:val="808080" w:themeColor="background1" w:themeShade="80"/>
                <w:sz w:val="20"/>
                <w:szCs w:val="20"/>
              </w:rPr>
            </w:pPr>
            <w:r w:rsidRPr="00EE48C5">
              <w:rPr>
                <w:b/>
                <w:bCs/>
                <w:strike/>
                <w:color w:val="808080" w:themeColor="background1" w:themeShade="80"/>
                <w:sz w:val="20"/>
                <w:szCs w:val="20"/>
              </w:rPr>
              <w:t>0.01</w:t>
            </w:r>
          </w:p>
          <w:p w14:paraId="5029A698" w14:textId="568303A7" w:rsidR="00273DD8" w:rsidRPr="00EE48C5" w:rsidRDefault="00273DD8" w:rsidP="00273DD8">
            <w:pPr>
              <w:pStyle w:val="RepStandard"/>
              <w:rPr>
                <w:b/>
                <w:bCs/>
                <w:sz w:val="20"/>
                <w:szCs w:val="20"/>
              </w:rPr>
            </w:pPr>
            <w:r w:rsidRPr="00EE48C5">
              <w:rPr>
                <w:b/>
                <w:bCs/>
                <w:sz w:val="20"/>
                <w:szCs w:val="20"/>
              </w:rPr>
              <w:t>0.02</w:t>
            </w:r>
          </w:p>
        </w:tc>
        <w:tc>
          <w:tcPr>
            <w:tcW w:w="2187" w:type="dxa"/>
            <w:shd w:val="clear" w:color="auto" w:fill="BDD6EE" w:themeFill="accent5" w:themeFillTint="66"/>
          </w:tcPr>
          <w:p w14:paraId="17DB8044" w14:textId="5EAB2A3D" w:rsidR="00AD41BC" w:rsidRPr="00561582" w:rsidRDefault="00AD41BC" w:rsidP="00273DD8">
            <w:pPr>
              <w:pStyle w:val="RepStandard"/>
              <w:rPr>
                <w:b/>
                <w:bCs/>
                <w:sz w:val="20"/>
                <w:szCs w:val="20"/>
              </w:rPr>
            </w:pPr>
            <w:r w:rsidRPr="00561582">
              <w:rPr>
                <w:b/>
                <w:bCs/>
                <w:sz w:val="20"/>
                <w:szCs w:val="20"/>
              </w:rPr>
              <w:t>0.</w:t>
            </w:r>
            <w:r w:rsidR="00273DD8" w:rsidRPr="00561582">
              <w:rPr>
                <w:b/>
                <w:bCs/>
                <w:sz w:val="20"/>
                <w:szCs w:val="20"/>
              </w:rPr>
              <w:t>24</w:t>
            </w:r>
          </w:p>
        </w:tc>
      </w:tr>
      <w:tr w:rsidR="00AD41BC" w:rsidRPr="00210BC5" w14:paraId="3B0AB7CE" w14:textId="05D583AC" w:rsidTr="00EE48C5">
        <w:tc>
          <w:tcPr>
            <w:tcW w:w="2349" w:type="dxa"/>
            <w:vMerge w:val="restart"/>
          </w:tcPr>
          <w:p w14:paraId="25100EC7" w14:textId="73939F61" w:rsidR="00AD41BC" w:rsidRPr="00210BC5" w:rsidRDefault="00AD41BC" w:rsidP="00273DD8">
            <w:pPr>
              <w:pStyle w:val="RepStandard"/>
              <w:rPr>
                <w:sz w:val="20"/>
                <w:szCs w:val="20"/>
                <w:highlight w:val="yellow"/>
              </w:rPr>
            </w:pPr>
            <w:r w:rsidRPr="00210BC5">
              <w:rPr>
                <w:sz w:val="20"/>
                <w:szCs w:val="20"/>
                <w:highlight w:val="yellow"/>
              </w:rPr>
              <w:t xml:space="preserve">Adult </w:t>
            </w:r>
          </w:p>
        </w:tc>
        <w:tc>
          <w:tcPr>
            <w:tcW w:w="2438" w:type="dxa"/>
          </w:tcPr>
          <w:p w14:paraId="7413A7FB" w14:textId="6B2A9280" w:rsidR="00AD41BC" w:rsidRPr="00210BC5" w:rsidRDefault="00AD41BC" w:rsidP="00273DD8">
            <w:pPr>
              <w:pStyle w:val="RepStandard"/>
              <w:rPr>
                <w:sz w:val="20"/>
                <w:szCs w:val="20"/>
                <w:highlight w:val="yellow"/>
              </w:rPr>
            </w:pPr>
            <w:r w:rsidRPr="00210BC5">
              <w:rPr>
                <w:sz w:val="20"/>
                <w:szCs w:val="20"/>
                <w:highlight w:val="yellow"/>
              </w:rPr>
              <w:t>M650F03</w:t>
            </w:r>
          </w:p>
        </w:tc>
        <w:tc>
          <w:tcPr>
            <w:tcW w:w="2374" w:type="dxa"/>
            <w:shd w:val="clear" w:color="auto" w:fill="BDD6EE" w:themeFill="accent5" w:themeFillTint="66"/>
          </w:tcPr>
          <w:p w14:paraId="34FD3E3E"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0.0015</w:t>
            </w:r>
          </w:p>
          <w:p w14:paraId="31203129" w14:textId="72499D9F" w:rsidR="00820383" w:rsidRPr="00EE48C5" w:rsidRDefault="00820383" w:rsidP="00273DD8">
            <w:pPr>
              <w:pStyle w:val="RepStandard"/>
              <w:rPr>
                <w:sz w:val="20"/>
                <w:szCs w:val="20"/>
              </w:rPr>
            </w:pPr>
            <w:r w:rsidRPr="00EE48C5">
              <w:rPr>
                <w:sz w:val="20"/>
                <w:szCs w:val="20"/>
              </w:rPr>
              <w:t>0.0018</w:t>
            </w:r>
          </w:p>
        </w:tc>
        <w:tc>
          <w:tcPr>
            <w:tcW w:w="2187" w:type="dxa"/>
            <w:shd w:val="clear" w:color="auto" w:fill="BDD6EE" w:themeFill="accent5" w:themeFillTint="66"/>
          </w:tcPr>
          <w:p w14:paraId="23B4AC1F" w14:textId="45C1C748" w:rsidR="00AD41BC" w:rsidRPr="00561582" w:rsidRDefault="00AD41BC" w:rsidP="00273DD8">
            <w:pPr>
              <w:pStyle w:val="RepStandard"/>
              <w:rPr>
                <w:sz w:val="20"/>
                <w:szCs w:val="20"/>
              </w:rPr>
            </w:pPr>
            <w:r w:rsidRPr="00561582">
              <w:rPr>
                <w:sz w:val="20"/>
                <w:szCs w:val="20"/>
              </w:rPr>
              <w:t>0.0</w:t>
            </w:r>
            <w:r w:rsidR="00820383" w:rsidRPr="00561582">
              <w:rPr>
                <w:sz w:val="20"/>
                <w:szCs w:val="20"/>
              </w:rPr>
              <w:t>3</w:t>
            </w:r>
          </w:p>
        </w:tc>
      </w:tr>
      <w:tr w:rsidR="00AD41BC" w:rsidRPr="00210BC5" w14:paraId="3ADA71EE" w14:textId="229ED1FB" w:rsidTr="00EE48C5">
        <w:tc>
          <w:tcPr>
            <w:tcW w:w="2349" w:type="dxa"/>
            <w:vMerge/>
          </w:tcPr>
          <w:p w14:paraId="1C106A6D" w14:textId="77777777" w:rsidR="00AD41BC" w:rsidRPr="00210BC5" w:rsidRDefault="00AD41BC" w:rsidP="00273DD8">
            <w:pPr>
              <w:pStyle w:val="RepStandard"/>
              <w:rPr>
                <w:sz w:val="20"/>
                <w:szCs w:val="20"/>
                <w:highlight w:val="yellow"/>
              </w:rPr>
            </w:pPr>
          </w:p>
        </w:tc>
        <w:tc>
          <w:tcPr>
            <w:tcW w:w="2438" w:type="dxa"/>
          </w:tcPr>
          <w:p w14:paraId="3CCFA3A7" w14:textId="5B433B2C" w:rsidR="00AD41BC" w:rsidRPr="00210BC5" w:rsidRDefault="00AD41BC" w:rsidP="00273DD8">
            <w:pPr>
              <w:pStyle w:val="RepStandard"/>
              <w:rPr>
                <w:sz w:val="20"/>
                <w:szCs w:val="20"/>
                <w:highlight w:val="yellow"/>
              </w:rPr>
            </w:pPr>
            <w:r w:rsidRPr="00210BC5">
              <w:rPr>
                <w:sz w:val="20"/>
                <w:szCs w:val="20"/>
                <w:highlight w:val="yellow"/>
              </w:rPr>
              <w:t>M650F04</w:t>
            </w:r>
          </w:p>
        </w:tc>
        <w:tc>
          <w:tcPr>
            <w:tcW w:w="2374" w:type="dxa"/>
            <w:shd w:val="clear" w:color="auto" w:fill="BDD6EE" w:themeFill="accent5" w:themeFillTint="66"/>
          </w:tcPr>
          <w:p w14:paraId="57EBB670" w14:textId="77777777" w:rsidR="00AD41BC" w:rsidRPr="00EE48C5" w:rsidRDefault="00AD41BC" w:rsidP="00273DD8">
            <w:pPr>
              <w:pStyle w:val="RepStandard"/>
              <w:rPr>
                <w:strike/>
                <w:color w:val="808080" w:themeColor="background1" w:themeShade="80"/>
                <w:sz w:val="20"/>
                <w:szCs w:val="20"/>
              </w:rPr>
            </w:pPr>
            <w:r w:rsidRPr="00EE48C5">
              <w:rPr>
                <w:strike/>
                <w:color w:val="808080" w:themeColor="background1" w:themeShade="80"/>
                <w:sz w:val="20"/>
                <w:szCs w:val="20"/>
              </w:rPr>
              <w:t>0.0029</w:t>
            </w:r>
          </w:p>
          <w:p w14:paraId="04C5FF29" w14:textId="367FBD41" w:rsidR="00820383" w:rsidRPr="00EE48C5" w:rsidRDefault="00820383" w:rsidP="00273DD8">
            <w:pPr>
              <w:pStyle w:val="RepStandard"/>
              <w:rPr>
                <w:sz w:val="20"/>
                <w:szCs w:val="20"/>
              </w:rPr>
            </w:pPr>
            <w:r w:rsidRPr="00EE48C5">
              <w:rPr>
                <w:sz w:val="20"/>
                <w:szCs w:val="20"/>
              </w:rPr>
              <w:t>0.0038</w:t>
            </w:r>
          </w:p>
        </w:tc>
        <w:tc>
          <w:tcPr>
            <w:tcW w:w="2187" w:type="dxa"/>
            <w:shd w:val="clear" w:color="auto" w:fill="BDD6EE" w:themeFill="accent5" w:themeFillTint="66"/>
          </w:tcPr>
          <w:p w14:paraId="48426FF2" w14:textId="1E62A271" w:rsidR="00AD41BC" w:rsidRPr="00561582" w:rsidRDefault="00AD41BC" w:rsidP="00273DD8">
            <w:pPr>
              <w:pStyle w:val="RepStandard"/>
              <w:rPr>
                <w:sz w:val="20"/>
                <w:szCs w:val="20"/>
              </w:rPr>
            </w:pPr>
            <w:r w:rsidRPr="00561582">
              <w:rPr>
                <w:sz w:val="20"/>
                <w:szCs w:val="20"/>
              </w:rPr>
              <w:t>0.0</w:t>
            </w:r>
            <w:r w:rsidR="00273DD8" w:rsidRPr="00561582">
              <w:rPr>
                <w:sz w:val="20"/>
                <w:szCs w:val="20"/>
              </w:rPr>
              <w:t>5</w:t>
            </w:r>
          </w:p>
        </w:tc>
      </w:tr>
      <w:tr w:rsidR="00AD41BC" w:rsidRPr="00F33C72" w14:paraId="1F957A51" w14:textId="531B44C1" w:rsidTr="00EE48C5">
        <w:tc>
          <w:tcPr>
            <w:tcW w:w="2349" w:type="dxa"/>
            <w:vMerge/>
          </w:tcPr>
          <w:p w14:paraId="2044CC9F" w14:textId="77777777" w:rsidR="00AD41BC" w:rsidRPr="00210BC5" w:rsidRDefault="00AD41BC" w:rsidP="00273DD8">
            <w:pPr>
              <w:pStyle w:val="RepStandard"/>
              <w:rPr>
                <w:sz w:val="20"/>
                <w:szCs w:val="20"/>
                <w:highlight w:val="yellow"/>
              </w:rPr>
            </w:pPr>
          </w:p>
        </w:tc>
        <w:tc>
          <w:tcPr>
            <w:tcW w:w="2438" w:type="dxa"/>
          </w:tcPr>
          <w:p w14:paraId="0A6AB350" w14:textId="4BAE7EEC" w:rsidR="00AD41BC" w:rsidRPr="00210BC5" w:rsidRDefault="00AD41BC" w:rsidP="00273DD8">
            <w:pPr>
              <w:pStyle w:val="RepStandard"/>
              <w:rPr>
                <w:b/>
                <w:bCs/>
                <w:sz w:val="20"/>
                <w:szCs w:val="20"/>
                <w:highlight w:val="yellow"/>
              </w:rPr>
            </w:pPr>
            <w:r w:rsidRPr="00210BC5">
              <w:rPr>
                <w:b/>
                <w:bCs/>
                <w:sz w:val="20"/>
                <w:szCs w:val="20"/>
                <w:highlight w:val="yellow"/>
              </w:rPr>
              <w:t>Cumulative risk (%)</w:t>
            </w:r>
          </w:p>
        </w:tc>
        <w:tc>
          <w:tcPr>
            <w:tcW w:w="2374" w:type="dxa"/>
            <w:shd w:val="clear" w:color="auto" w:fill="BDD6EE" w:themeFill="accent5" w:themeFillTint="66"/>
          </w:tcPr>
          <w:p w14:paraId="7B300238" w14:textId="77777777" w:rsidR="00AD41BC" w:rsidRPr="00EE48C5" w:rsidRDefault="00AD41BC" w:rsidP="00273DD8">
            <w:pPr>
              <w:pStyle w:val="RepStandard"/>
              <w:rPr>
                <w:b/>
                <w:bCs/>
                <w:strike/>
                <w:color w:val="808080" w:themeColor="background1" w:themeShade="80"/>
                <w:sz w:val="20"/>
                <w:szCs w:val="20"/>
              </w:rPr>
            </w:pPr>
            <w:r w:rsidRPr="00EE48C5">
              <w:rPr>
                <w:b/>
                <w:bCs/>
                <w:strike/>
                <w:color w:val="808080" w:themeColor="background1" w:themeShade="80"/>
                <w:sz w:val="20"/>
                <w:szCs w:val="20"/>
              </w:rPr>
              <w:t>0.004</w:t>
            </w:r>
          </w:p>
          <w:p w14:paraId="3A6DC118" w14:textId="27444E15" w:rsidR="00273DD8" w:rsidRPr="00EE48C5" w:rsidRDefault="00273DD8" w:rsidP="00273DD8">
            <w:pPr>
              <w:pStyle w:val="RepStandard"/>
              <w:rPr>
                <w:b/>
                <w:bCs/>
                <w:sz w:val="20"/>
                <w:szCs w:val="20"/>
              </w:rPr>
            </w:pPr>
            <w:r w:rsidRPr="00EE48C5">
              <w:rPr>
                <w:b/>
                <w:bCs/>
                <w:sz w:val="20"/>
                <w:szCs w:val="20"/>
              </w:rPr>
              <w:t>0.006</w:t>
            </w:r>
          </w:p>
        </w:tc>
        <w:tc>
          <w:tcPr>
            <w:tcW w:w="2187" w:type="dxa"/>
            <w:shd w:val="clear" w:color="auto" w:fill="BDD6EE" w:themeFill="accent5" w:themeFillTint="66"/>
          </w:tcPr>
          <w:p w14:paraId="604BA3B2" w14:textId="3DB3F6B7" w:rsidR="00AD41BC" w:rsidRPr="00561582" w:rsidRDefault="00AD41BC" w:rsidP="00273DD8">
            <w:pPr>
              <w:pStyle w:val="RepStandard"/>
              <w:rPr>
                <w:b/>
                <w:bCs/>
                <w:sz w:val="20"/>
                <w:szCs w:val="20"/>
              </w:rPr>
            </w:pPr>
            <w:r w:rsidRPr="00561582">
              <w:rPr>
                <w:b/>
                <w:bCs/>
                <w:sz w:val="20"/>
                <w:szCs w:val="20"/>
              </w:rPr>
              <w:t>0.0</w:t>
            </w:r>
            <w:r w:rsidR="00273DD8" w:rsidRPr="00561582">
              <w:rPr>
                <w:b/>
                <w:bCs/>
                <w:sz w:val="20"/>
                <w:szCs w:val="20"/>
              </w:rPr>
              <w:t>8</w:t>
            </w:r>
          </w:p>
        </w:tc>
      </w:tr>
    </w:tbl>
    <w:p w14:paraId="54EF7563" w14:textId="458C0262" w:rsidR="00F33C72" w:rsidRPr="00F33C72" w:rsidRDefault="00F33C72" w:rsidP="00F33C72">
      <w:pPr>
        <w:pStyle w:val="RepStandard"/>
      </w:pPr>
    </w:p>
    <w:p w14:paraId="22E907E3" w14:textId="77777777" w:rsidR="00504C0B" w:rsidRPr="00817EA6" w:rsidRDefault="00504C0B" w:rsidP="00324AB8">
      <w:pPr>
        <w:pStyle w:val="RepStandard"/>
        <w:sectPr w:rsidR="00504C0B" w:rsidRPr="00817EA6" w:rsidSect="00C74E29">
          <w:footerReference w:type="even" r:id="rId20"/>
          <w:footerReference w:type="default" r:id="rId21"/>
          <w:footerReference w:type="first" r:id="rId22"/>
          <w:pgSz w:w="11909" w:h="16834" w:code="9"/>
          <w:pgMar w:top="1417" w:right="1134" w:bottom="1134" w:left="1417" w:header="709" w:footer="709" w:gutter="0"/>
          <w:pgNumType w:chapSep="period"/>
          <w:cols w:space="720"/>
          <w:noEndnote/>
          <w:docGrid w:linePitch="299"/>
        </w:sectPr>
      </w:pPr>
    </w:p>
    <w:bookmarkEnd w:id="13"/>
    <w:bookmarkEnd w:id="14"/>
    <w:bookmarkEnd w:id="15"/>
    <w:bookmarkEnd w:id="16"/>
    <w:p w14:paraId="60E066D4" w14:textId="77777777" w:rsidR="00504C0B" w:rsidRPr="00817EA6" w:rsidRDefault="00504C0B" w:rsidP="001A7062">
      <w:pPr>
        <w:pStyle w:val="RepAppendix1"/>
      </w:pPr>
      <w:r w:rsidRPr="00817EA6">
        <w:lastRenderedPageBreak/>
        <w:t xml:space="preserve"> </w:t>
      </w:r>
      <w:bookmarkStart w:id="189" w:name="_Toc412025992"/>
      <w:bookmarkStart w:id="190" w:name="_Toc413754723"/>
      <w:bookmarkStart w:id="191" w:name="_Toc413755124"/>
      <w:bookmarkStart w:id="192" w:name="_Toc413755150"/>
      <w:bookmarkStart w:id="193" w:name="_Toc413755175"/>
      <w:bookmarkStart w:id="194" w:name="_Toc413941051"/>
      <w:bookmarkStart w:id="195" w:name="_Toc413943201"/>
      <w:bookmarkStart w:id="196" w:name="_Toc414542750"/>
      <w:bookmarkStart w:id="197" w:name="_Toc414545000"/>
      <w:bookmarkStart w:id="198" w:name="_Toc414545027"/>
      <w:bookmarkStart w:id="199" w:name="_Toc414608135"/>
      <w:bookmarkStart w:id="200" w:name="_Toc415230189"/>
      <w:bookmarkStart w:id="201" w:name="_Toc181622190"/>
      <w:r w:rsidRPr="00817EA6">
        <w:t>List</w:t>
      </w:r>
      <w:r w:rsidR="00AC7CD5" w:rsidRPr="00817EA6">
        <w:t>s</w:t>
      </w:r>
      <w:r w:rsidRPr="00817EA6">
        <w:t xml:space="preserve"> of data considered in support of the evaluation</w:t>
      </w:r>
      <w:bookmarkEnd w:id="189"/>
      <w:bookmarkEnd w:id="190"/>
      <w:bookmarkEnd w:id="191"/>
      <w:bookmarkEnd w:id="192"/>
      <w:bookmarkEnd w:id="193"/>
      <w:bookmarkEnd w:id="194"/>
      <w:bookmarkEnd w:id="195"/>
      <w:bookmarkEnd w:id="196"/>
      <w:bookmarkEnd w:id="197"/>
      <w:bookmarkEnd w:id="198"/>
      <w:bookmarkEnd w:id="199"/>
      <w:bookmarkEnd w:id="200"/>
      <w:bookmarkEnd w:id="201"/>
    </w:p>
    <w:p w14:paraId="656C55A8" w14:textId="77777777" w:rsidR="00743624" w:rsidRPr="00817EA6" w:rsidRDefault="00743624" w:rsidP="00743624">
      <w:pPr>
        <w:pStyle w:val="RepNewPart"/>
      </w:pPr>
      <w:r w:rsidRPr="00817EA6">
        <w:t>List of data submitted by the applicant and relied on</w:t>
      </w:r>
    </w:p>
    <w:p w14:paraId="081EE88C" w14:textId="057EEC73" w:rsidR="00BA7644" w:rsidRPr="00817EA6" w:rsidRDefault="00453127">
      <w:pPr>
        <w:widowControl w:val="0"/>
        <w:jc w:val="both"/>
      </w:pPr>
      <w:r w:rsidRPr="00817EA6">
        <w:t>None</w:t>
      </w:r>
    </w:p>
    <w:p w14:paraId="5269CCC8" w14:textId="77777777" w:rsidR="00743624" w:rsidRPr="00817EA6" w:rsidRDefault="00743624" w:rsidP="00743624">
      <w:pPr>
        <w:pStyle w:val="RepNewPart"/>
      </w:pPr>
      <w:r w:rsidRPr="00817EA6">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453127" w:rsidRPr="00817EA6" w14:paraId="72805A85" w14:textId="77777777" w:rsidTr="009F5A83">
        <w:trPr>
          <w:tblHeader/>
        </w:trPr>
        <w:tc>
          <w:tcPr>
            <w:tcW w:w="376" w:type="pct"/>
            <w:shd w:val="clear" w:color="auto" w:fill="auto"/>
            <w:vAlign w:val="center"/>
          </w:tcPr>
          <w:p w14:paraId="28B8CD25" w14:textId="77777777" w:rsidR="00453127" w:rsidRPr="00817EA6" w:rsidRDefault="00453127" w:rsidP="009F5A83">
            <w:pPr>
              <w:jc w:val="center"/>
              <w:rPr>
                <w:b/>
                <w:bCs/>
                <w:sz w:val="20"/>
                <w:szCs w:val="20"/>
              </w:rPr>
            </w:pPr>
            <w:r w:rsidRPr="00817EA6">
              <w:rPr>
                <w:b/>
                <w:bCs/>
                <w:sz w:val="20"/>
                <w:szCs w:val="20"/>
              </w:rPr>
              <w:t>Data point</w:t>
            </w:r>
          </w:p>
        </w:tc>
        <w:tc>
          <w:tcPr>
            <w:tcW w:w="615" w:type="pct"/>
            <w:shd w:val="clear" w:color="auto" w:fill="auto"/>
            <w:vAlign w:val="center"/>
          </w:tcPr>
          <w:p w14:paraId="54A2CD6C" w14:textId="77777777" w:rsidR="00453127" w:rsidRPr="00817EA6" w:rsidRDefault="00453127" w:rsidP="009F5A83">
            <w:pPr>
              <w:jc w:val="center"/>
              <w:rPr>
                <w:b/>
                <w:bCs/>
                <w:sz w:val="20"/>
                <w:szCs w:val="20"/>
              </w:rPr>
            </w:pPr>
            <w:r w:rsidRPr="00817EA6">
              <w:rPr>
                <w:b/>
                <w:bCs/>
                <w:sz w:val="20"/>
                <w:szCs w:val="20"/>
              </w:rPr>
              <w:t>Author(s)</w:t>
            </w:r>
          </w:p>
        </w:tc>
        <w:tc>
          <w:tcPr>
            <w:tcW w:w="248" w:type="pct"/>
            <w:shd w:val="clear" w:color="auto" w:fill="auto"/>
            <w:vAlign w:val="center"/>
          </w:tcPr>
          <w:p w14:paraId="04AF7EEE" w14:textId="77777777" w:rsidR="00453127" w:rsidRPr="00817EA6" w:rsidRDefault="00453127" w:rsidP="009F5A83">
            <w:pPr>
              <w:jc w:val="center"/>
              <w:rPr>
                <w:b/>
                <w:bCs/>
                <w:sz w:val="20"/>
                <w:szCs w:val="20"/>
              </w:rPr>
            </w:pPr>
            <w:r w:rsidRPr="00817EA6">
              <w:rPr>
                <w:b/>
                <w:bCs/>
                <w:sz w:val="20"/>
                <w:szCs w:val="20"/>
              </w:rPr>
              <w:t>Year</w:t>
            </w:r>
          </w:p>
        </w:tc>
        <w:tc>
          <w:tcPr>
            <w:tcW w:w="2927" w:type="pct"/>
            <w:shd w:val="clear" w:color="auto" w:fill="auto"/>
            <w:vAlign w:val="center"/>
          </w:tcPr>
          <w:p w14:paraId="5BA52A01" w14:textId="77777777" w:rsidR="00453127" w:rsidRPr="00817EA6" w:rsidRDefault="00453127" w:rsidP="009F5A83">
            <w:pPr>
              <w:jc w:val="center"/>
              <w:rPr>
                <w:b/>
                <w:bCs/>
                <w:sz w:val="20"/>
                <w:szCs w:val="20"/>
              </w:rPr>
            </w:pPr>
            <w:r w:rsidRPr="00817EA6">
              <w:rPr>
                <w:b/>
                <w:bCs/>
                <w:sz w:val="20"/>
                <w:szCs w:val="20"/>
              </w:rPr>
              <w:t>Title</w:t>
            </w:r>
            <w:r w:rsidRPr="00817EA6">
              <w:rPr>
                <w:b/>
                <w:bCs/>
                <w:sz w:val="20"/>
                <w:szCs w:val="20"/>
              </w:rPr>
              <w:br/>
              <w:t>Company Report No.</w:t>
            </w:r>
            <w:r w:rsidRPr="00817EA6">
              <w:rPr>
                <w:b/>
                <w:bCs/>
                <w:sz w:val="20"/>
                <w:szCs w:val="20"/>
              </w:rPr>
              <w:tab/>
            </w:r>
            <w:r w:rsidRPr="00817EA6">
              <w:rPr>
                <w:b/>
                <w:bCs/>
                <w:sz w:val="20"/>
                <w:szCs w:val="20"/>
              </w:rPr>
              <w:br/>
              <w:t>Source (where different from company)</w:t>
            </w:r>
            <w:r w:rsidRPr="00817EA6">
              <w:rPr>
                <w:b/>
                <w:bCs/>
                <w:sz w:val="20"/>
                <w:szCs w:val="20"/>
              </w:rPr>
              <w:br/>
              <w:t>GLP or GEP status</w:t>
            </w:r>
            <w:r w:rsidRPr="00817EA6">
              <w:rPr>
                <w:b/>
                <w:bCs/>
                <w:sz w:val="20"/>
                <w:szCs w:val="20"/>
              </w:rPr>
              <w:br/>
              <w:t>Published or not</w:t>
            </w:r>
          </w:p>
        </w:tc>
        <w:tc>
          <w:tcPr>
            <w:tcW w:w="415" w:type="pct"/>
            <w:shd w:val="clear" w:color="auto" w:fill="auto"/>
            <w:vAlign w:val="center"/>
          </w:tcPr>
          <w:p w14:paraId="6A495562" w14:textId="77777777" w:rsidR="00453127" w:rsidRPr="00817EA6" w:rsidRDefault="00453127" w:rsidP="009F5A83">
            <w:pPr>
              <w:jc w:val="center"/>
              <w:rPr>
                <w:b/>
                <w:bCs/>
                <w:sz w:val="20"/>
                <w:szCs w:val="20"/>
              </w:rPr>
            </w:pPr>
            <w:r w:rsidRPr="00817EA6">
              <w:rPr>
                <w:b/>
                <w:bCs/>
                <w:sz w:val="20"/>
                <w:szCs w:val="20"/>
              </w:rPr>
              <w:t>Vertebrate study</w:t>
            </w:r>
          </w:p>
          <w:p w14:paraId="1A5D7575" w14:textId="77777777" w:rsidR="00453127" w:rsidRPr="00817EA6" w:rsidRDefault="00453127" w:rsidP="009F5A83">
            <w:pPr>
              <w:jc w:val="center"/>
              <w:rPr>
                <w:b/>
                <w:bCs/>
                <w:sz w:val="20"/>
                <w:szCs w:val="20"/>
              </w:rPr>
            </w:pPr>
            <w:r w:rsidRPr="00817EA6">
              <w:rPr>
                <w:b/>
                <w:bCs/>
                <w:sz w:val="20"/>
                <w:szCs w:val="20"/>
              </w:rPr>
              <w:t>Y/N</w:t>
            </w:r>
          </w:p>
        </w:tc>
        <w:tc>
          <w:tcPr>
            <w:tcW w:w="419" w:type="pct"/>
            <w:shd w:val="clear" w:color="auto" w:fill="auto"/>
            <w:vAlign w:val="center"/>
          </w:tcPr>
          <w:p w14:paraId="0E6FCFB7" w14:textId="77777777" w:rsidR="00453127" w:rsidRPr="00817EA6" w:rsidRDefault="00453127" w:rsidP="009F5A83">
            <w:pPr>
              <w:jc w:val="center"/>
              <w:rPr>
                <w:b/>
                <w:bCs/>
                <w:sz w:val="20"/>
                <w:szCs w:val="20"/>
              </w:rPr>
            </w:pPr>
            <w:r w:rsidRPr="00817EA6">
              <w:rPr>
                <w:b/>
                <w:bCs/>
                <w:sz w:val="20"/>
                <w:szCs w:val="20"/>
              </w:rPr>
              <w:t>Owner</w:t>
            </w:r>
          </w:p>
        </w:tc>
      </w:tr>
      <w:tr w:rsidR="00453127" w:rsidRPr="00817EA6" w14:paraId="793C3513" w14:textId="77777777" w:rsidTr="009B666E">
        <w:tc>
          <w:tcPr>
            <w:tcW w:w="0" w:type="auto"/>
          </w:tcPr>
          <w:p w14:paraId="411DA59D" w14:textId="7D854141" w:rsidR="00453127" w:rsidRPr="00817EA6" w:rsidRDefault="00453127" w:rsidP="009F5A83">
            <w:pPr>
              <w:rPr>
                <w:sz w:val="20"/>
                <w:szCs w:val="20"/>
              </w:rPr>
            </w:pPr>
            <w:r w:rsidRPr="00817EA6">
              <w:rPr>
                <w:color w:val="000000"/>
                <w:sz w:val="20"/>
                <w:szCs w:val="20"/>
              </w:rPr>
              <w:t xml:space="preserve">KCP </w:t>
            </w:r>
            <w:r w:rsidR="00157322">
              <w:rPr>
                <w:color w:val="000000"/>
                <w:sz w:val="20"/>
                <w:szCs w:val="20"/>
              </w:rPr>
              <w:t>11</w:t>
            </w:r>
          </w:p>
        </w:tc>
        <w:tc>
          <w:tcPr>
            <w:tcW w:w="0" w:type="auto"/>
          </w:tcPr>
          <w:p w14:paraId="29675745" w14:textId="77777777" w:rsidR="00453127" w:rsidRPr="00817EA6" w:rsidRDefault="00453127" w:rsidP="009F5A83">
            <w:pPr>
              <w:rPr>
                <w:color w:val="000000"/>
                <w:sz w:val="20"/>
                <w:szCs w:val="20"/>
              </w:rPr>
            </w:pPr>
            <w:r w:rsidRPr="00817EA6">
              <w:rPr>
                <w:color w:val="000000"/>
                <w:sz w:val="20"/>
                <w:szCs w:val="20"/>
              </w:rPr>
              <w:t>Merk M.,</w:t>
            </w:r>
          </w:p>
          <w:p w14:paraId="7C8BC6BB" w14:textId="77777777" w:rsidR="00453127" w:rsidRPr="00817EA6" w:rsidRDefault="00453127" w:rsidP="009F5A83">
            <w:pPr>
              <w:rPr>
                <w:sz w:val="20"/>
                <w:szCs w:val="20"/>
              </w:rPr>
            </w:pPr>
            <w:r w:rsidRPr="00817EA6">
              <w:rPr>
                <w:color w:val="000000"/>
                <w:sz w:val="20"/>
                <w:szCs w:val="20"/>
              </w:rPr>
              <w:t>Scherer M.</w:t>
            </w:r>
          </w:p>
        </w:tc>
        <w:tc>
          <w:tcPr>
            <w:tcW w:w="0" w:type="auto"/>
          </w:tcPr>
          <w:p w14:paraId="1953FDE1" w14:textId="77777777" w:rsidR="00453127" w:rsidRPr="00817EA6" w:rsidRDefault="00453127" w:rsidP="009F5A83">
            <w:pPr>
              <w:jc w:val="center"/>
              <w:rPr>
                <w:sz w:val="20"/>
                <w:szCs w:val="20"/>
              </w:rPr>
            </w:pPr>
            <w:r w:rsidRPr="00817EA6">
              <w:rPr>
                <w:color w:val="000000"/>
                <w:sz w:val="20"/>
                <w:szCs w:val="20"/>
              </w:rPr>
              <w:t>2008</w:t>
            </w:r>
          </w:p>
        </w:tc>
        <w:tc>
          <w:tcPr>
            <w:tcW w:w="0" w:type="auto"/>
          </w:tcPr>
          <w:p w14:paraId="463F63A6" w14:textId="77777777" w:rsidR="00453127" w:rsidRPr="00817EA6" w:rsidRDefault="00453127" w:rsidP="009F5A83">
            <w:pPr>
              <w:rPr>
                <w:color w:val="000000"/>
                <w:sz w:val="20"/>
                <w:szCs w:val="20"/>
              </w:rPr>
            </w:pPr>
            <w:r w:rsidRPr="00817EA6">
              <w:rPr>
                <w:color w:val="000000"/>
                <w:sz w:val="20"/>
                <w:szCs w:val="20"/>
              </w:rPr>
              <w:t>Fungicidal efficacy of BAS 650 F soil metabolites: M650F03, M650F04</w:t>
            </w:r>
          </w:p>
          <w:p w14:paraId="08DEB904" w14:textId="77777777" w:rsidR="00453127" w:rsidRPr="00817EA6" w:rsidRDefault="00453127" w:rsidP="009F5A83">
            <w:pPr>
              <w:rPr>
                <w:color w:val="000000"/>
                <w:sz w:val="20"/>
                <w:szCs w:val="20"/>
              </w:rPr>
            </w:pPr>
            <w:r w:rsidRPr="00817EA6">
              <w:rPr>
                <w:color w:val="000000"/>
                <w:sz w:val="20"/>
                <w:szCs w:val="20"/>
              </w:rPr>
              <w:t>2008/1021354</w:t>
            </w:r>
          </w:p>
          <w:p w14:paraId="636C7C88" w14:textId="17168C80" w:rsidR="00453127" w:rsidRPr="00817EA6" w:rsidRDefault="001667FF" w:rsidP="009F5A83">
            <w:pPr>
              <w:rPr>
                <w:color w:val="000000"/>
                <w:sz w:val="20"/>
                <w:szCs w:val="20"/>
              </w:rPr>
            </w:pPr>
            <w:r>
              <w:rPr>
                <w:color w:val="000000"/>
                <w:sz w:val="20"/>
                <w:szCs w:val="20"/>
              </w:rPr>
              <w:t>XXXX</w:t>
            </w:r>
            <w:r w:rsidR="00453127" w:rsidRPr="00817EA6">
              <w:rPr>
                <w:color w:val="000000"/>
                <w:sz w:val="20"/>
                <w:szCs w:val="20"/>
              </w:rPr>
              <w:t xml:space="preserve"> SE, </w:t>
            </w:r>
            <w:proofErr w:type="spellStart"/>
            <w:r w:rsidR="00453127" w:rsidRPr="00817EA6">
              <w:rPr>
                <w:color w:val="000000"/>
                <w:sz w:val="20"/>
                <w:szCs w:val="20"/>
              </w:rPr>
              <w:t>Limburgerhof</w:t>
            </w:r>
            <w:proofErr w:type="spellEnd"/>
            <w:r w:rsidR="00453127" w:rsidRPr="00817EA6">
              <w:rPr>
                <w:color w:val="000000"/>
                <w:sz w:val="20"/>
                <w:szCs w:val="20"/>
              </w:rPr>
              <w:t xml:space="preserve">, Germany </w:t>
            </w:r>
            <w:proofErr w:type="spellStart"/>
            <w:r w:rsidR="00453127" w:rsidRPr="00817EA6">
              <w:rPr>
                <w:color w:val="000000"/>
                <w:sz w:val="20"/>
                <w:szCs w:val="20"/>
              </w:rPr>
              <w:t>Fed.Rep</w:t>
            </w:r>
            <w:proofErr w:type="spellEnd"/>
            <w:r w:rsidR="00453127" w:rsidRPr="00817EA6">
              <w:rPr>
                <w:color w:val="000000"/>
                <w:sz w:val="20"/>
                <w:szCs w:val="20"/>
              </w:rPr>
              <w:t>.</w:t>
            </w:r>
          </w:p>
          <w:p w14:paraId="53F26271" w14:textId="77777777" w:rsidR="00453127" w:rsidRPr="00817EA6" w:rsidRDefault="00453127" w:rsidP="009F5A83">
            <w:pPr>
              <w:rPr>
                <w:color w:val="000000"/>
                <w:sz w:val="20"/>
                <w:szCs w:val="20"/>
              </w:rPr>
            </w:pPr>
            <w:r w:rsidRPr="00817EA6">
              <w:rPr>
                <w:color w:val="000000"/>
                <w:sz w:val="20"/>
                <w:szCs w:val="20"/>
              </w:rPr>
              <w:t>no</w:t>
            </w:r>
          </w:p>
          <w:p w14:paraId="14B77E9E" w14:textId="77777777" w:rsidR="00453127" w:rsidRPr="00817EA6" w:rsidRDefault="00453127" w:rsidP="009F5A83">
            <w:pPr>
              <w:rPr>
                <w:color w:val="000000"/>
                <w:sz w:val="20"/>
                <w:szCs w:val="20"/>
              </w:rPr>
            </w:pPr>
            <w:r w:rsidRPr="00817EA6">
              <w:rPr>
                <w:color w:val="000000"/>
                <w:sz w:val="20"/>
                <w:szCs w:val="20"/>
              </w:rPr>
              <w:t>Unpublished</w:t>
            </w:r>
          </w:p>
        </w:tc>
        <w:tc>
          <w:tcPr>
            <w:tcW w:w="0" w:type="auto"/>
          </w:tcPr>
          <w:p w14:paraId="5E8126A6" w14:textId="77777777" w:rsidR="00453127" w:rsidRPr="00817EA6" w:rsidRDefault="00453127" w:rsidP="009F5A83">
            <w:pPr>
              <w:jc w:val="center"/>
              <w:rPr>
                <w:sz w:val="20"/>
                <w:szCs w:val="20"/>
              </w:rPr>
            </w:pPr>
            <w:r w:rsidRPr="00817EA6">
              <w:rPr>
                <w:color w:val="000000"/>
                <w:sz w:val="20"/>
                <w:szCs w:val="20"/>
              </w:rPr>
              <w:t>No</w:t>
            </w:r>
          </w:p>
        </w:tc>
        <w:tc>
          <w:tcPr>
            <w:tcW w:w="0" w:type="auto"/>
          </w:tcPr>
          <w:p w14:paraId="1BB49170" w14:textId="1723CE36" w:rsidR="00453127" w:rsidRPr="00817EA6" w:rsidRDefault="001667FF" w:rsidP="009F5A83">
            <w:pPr>
              <w:jc w:val="center"/>
              <w:rPr>
                <w:sz w:val="20"/>
                <w:szCs w:val="20"/>
              </w:rPr>
            </w:pPr>
            <w:r>
              <w:rPr>
                <w:color w:val="000000"/>
                <w:sz w:val="20"/>
                <w:szCs w:val="20"/>
              </w:rPr>
              <w:t>XXXX</w:t>
            </w:r>
          </w:p>
        </w:tc>
      </w:tr>
    </w:tbl>
    <w:p w14:paraId="3FE1E714" w14:textId="77777777" w:rsidR="00BA7644" w:rsidRPr="00817EA6" w:rsidRDefault="00BA7644">
      <w:pPr>
        <w:widowControl w:val="0"/>
        <w:jc w:val="both"/>
      </w:pPr>
    </w:p>
    <w:p w14:paraId="586ABC9C" w14:textId="77777777" w:rsidR="009B6A86" w:rsidRPr="00817EA6" w:rsidRDefault="009B6A86" w:rsidP="009B6A86">
      <w:pPr>
        <w:pStyle w:val="RepStandard"/>
      </w:pPr>
    </w:p>
    <w:p w14:paraId="58141801" w14:textId="77777777" w:rsidR="00743624" w:rsidRPr="00817EA6" w:rsidRDefault="009B6A86" w:rsidP="00743624">
      <w:pPr>
        <w:pStyle w:val="RepStandard"/>
      </w:pPr>
      <w:r w:rsidRPr="00817EA6">
        <w:br w:type="page"/>
      </w:r>
    </w:p>
    <w:p w14:paraId="15E9D3DB" w14:textId="77777777" w:rsidR="00743624" w:rsidRPr="00817EA6" w:rsidRDefault="00743624" w:rsidP="00743624">
      <w:pPr>
        <w:pStyle w:val="RepEditorNotesMS"/>
      </w:pPr>
      <w:r w:rsidRPr="00817EA6">
        <w:lastRenderedPageBreak/>
        <w:t>The following tables are to be completed by MS</w:t>
      </w:r>
    </w:p>
    <w:p w14:paraId="467124D7" w14:textId="77777777" w:rsidR="00743624" w:rsidRPr="00817EA6" w:rsidRDefault="00743624" w:rsidP="00743624">
      <w:pPr>
        <w:pStyle w:val="RepNewPart"/>
      </w:pPr>
      <w:r w:rsidRPr="00817EA6">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743624" w:rsidRPr="00817EA6" w14:paraId="44102466" w14:textId="77777777" w:rsidTr="009F5A83">
        <w:trPr>
          <w:tblHeader/>
        </w:trPr>
        <w:tc>
          <w:tcPr>
            <w:tcW w:w="348" w:type="pct"/>
            <w:shd w:val="clear" w:color="auto" w:fill="auto"/>
            <w:vAlign w:val="center"/>
          </w:tcPr>
          <w:p w14:paraId="7D9F335A" w14:textId="77777777" w:rsidR="00743624" w:rsidRPr="00817EA6" w:rsidRDefault="00743624" w:rsidP="009F5A83">
            <w:pPr>
              <w:pStyle w:val="RepTableHeader"/>
              <w:jc w:val="center"/>
              <w:rPr>
                <w:lang w:val="en-GB"/>
              </w:rPr>
            </w:pPr>
            <w:r w:rsidRPr="00817EA6">
              <w:rPr>
                <w:lang w:val="en-GB"/>
              </w:rPr>
              <w:t>Data point</w:t>
            </w:r>
          </w:p>
        </w:tc>
        <w:tc>
          <w:tcPr>
            <w:tcW w:w="636" w:type="pct"/>
            <w:shd w:val="clear" w:color="auto" w:fill="auto"/>
            <w:vAlign w:val="center"/>
          </w:tcPr>
          <w:p w14:paraId="5F820F6F" w14:textId="77777777" w:rsidR="00743624" w:rsidRPr="00817EA6" w:rsidRDefault="00743624" w:rsidP="009F5A83">
            <w:pPr>
              <w:pStyle w:val="RepTableHeader"/>
              <w:jc w:val="center"/>
              <w:rPr>
                <w:lang w:val="en-GB"/>
              </w:rPr>
            </w:pPr>
            <w:r w:rsidRPr="00817EA6">
              <w:rPr>
                <w:lang w:val="en-GB"/>
              </w:rPr>
              <w:t>Author(s)</w:t>
            </w:r>
          </w:p>
        </w:tc>
        <w:tc>
          <w:tcPr>
            <w:tcW w:w="270" w:type="pct"/>
            <w:shd w:val="clear" w:color="auto" w:fill="auto"/>
            <w:vAlign w:val="center"/>
          </w:tcPr>
          <w:p w14:paraId="1B970C63" w14:textId="77777777" w:rsidR="00743624" w:rsidRPr="00817EA6" w:rsidRDefault="00743624" w:rsidP="009F5A83">
            <w:pPr>
              <w:pStyle w:val="RepTableHeader"/>
              <w:jc w:val="center"/>
              <w:rPr>
                <w:lang w:val="en-GB"/>
              </w:rPr>
            </w:pPr>
            <w:r w:rsidRPr="00817EA6">
              <w:rPr>
                <w:lang w:val="en-GB"/>
              </w:rPr>
              <w:t>Year</w:t>
            </w:r>
          </w:p>
        </w:tc>
        <w:tc>
          <w:tcPr>
            <w:tcW w:w="2949" w:type="pct"/>
            <w:shd w:val="clear" w:color="auto" w:fill="auto"/>
            <w:vAlign w:val="center"/>
          </w:tcPr>
          <w:p w14:paraId="0CC2FD7F" w14:textId="77777777" w:rsidR="00743624" w:rsidRPr="00817EA6" w:rsidRDefault="00743624" w:rsidP="009F5A83">
            <w:pPr>
              <w:pStyle w:val="RepTableHeader"/>
              <w:jc w:val="center"/>
              <w:rPr>
                <w:lang w:val="en-GB"/>
              </w:rPr>
            </w:pPr>
            <w:r w:rsidRPr="00817EA6">
              <w:rPr>
                <w:lang w:val="en-GB"/>
              </w:rPr>
              <w:t>Title</w:t>
            </w:r>
            <w:r w:rsidRPr="00817EA6">
              <w:rPr>
                <w:lang w:val="en-GB"/>
              </w:rPr>
              <w:br/>
              <w:t>Company Report No.</w:t>
            </w:r>
            <w:r w:rsidRPr="00817EA6">
              <w:rPr>
                <w:lang w:val="en-GB"/>
              </w:rPr>
              <w:tab/>
            </w:r>
            <w:r w:rsidRPr="00817EA6">
              <w:rPr>
                <w:lang w:val="en-GB"/>
              </w:rPr>
              <w:br/>
              <w:t>Source (where different from company)</w:t>
            </w:r>
            <w:r w:rsidRPr="00817EA6">
              <w:rPr>
                <w:lang w:val="en-GB"/>
              </w:rPr>
              <w:br/>
              <w:t>GLP or GEP status</w:t>
            </w:r>
            <w:r w:rsidRPr="00817EA6">
              <w:rPr>
                <w:lang w:val="en-GB"/>
              </w:rPr>
              <w:br/>
              <w:t>Published or not</w:t>
            </w:r>
          </w:p>
        </w:tc>
        <w:tc>
          <w:tcPr>
            <w:tcW w:w="357" w:type="pct"/>
            <w:shd w:val="clear" w:color="auto" w:fill="auto"/>
            <w:vAlign w:val="center"/>
          </w:tcPr>
          <w:p w14:paraId="2F83A836" w14:textId="77777777" w:rsidR="00743624" w:rsidRPr="00817EA6" w:rsidRDefault="00743624" w:rsidP="009F5A83">
            <w:pPr>
              <w:pStyle w:val="RepTableHeader"/>
              <w:jc w:val="center"/>
              <w:rPr>
                <w:lang w:val="en-GB"/>
              </w:rPr>
            </w:pPr>
            <w:r w:rsidRPr="00817EA6">
              <w:rPr>
                <w:lang w:val="en-GB"/>
              </w:rPr>
              <w:t>Vertebrate study</w:t>
            </w:r>
          </w:p>
          <w:p w14:paraId="68D8E67F" w14:textId="77777777" w:rsidR="00743624" w:rsidRPr="00817EA6" w:rsidRDefault="00743624" w:rsidP="009F5A83">
            <w:pPr>
              <w:pStyle w:val="RepTableHeader"/>
              <w:jc w:val="center"/>
              <w:rPr>
                <w:lang w:val="en-GB"/>
              </w:rPr>
            </w:pPr>
            <w:r w:rsidRPr="00817EA6">
              <w:rPr>
                <w:lang w:val="en-GB"/>
              </w:rPr>
              <w:t>Y/N</w:t>
            </w:r>
          </w:p>
        </w:tc>
        <w:tc>
          <w:tcPr>
            <w:tcW w:w="440" w:type="pct"/>
            <w:shd w:val="clear" w:color="auto" w:fill="auto"/>
            <w:vAlign w:val="center"/>
          </w:tcPr>
          <w:p w14:paraId="640F8FE5" w14:textId="77777777" w:rsidR="00743624" w:rsidRPr="00817EA6" w:rsidRDefault="00743624" w:rsidP="009F5A83">
            <w:pPr>
              <w:pStyle w:val="RepTableHeader"/>
              <w:jc w:val="center"/>
              <w:rPr>
                <w:lang w:val="en-GB"/>
              </w:rPr>
            </w:pPr>
            <w:r w:rsidRPr="00817EA6">
              <w:rPr>
                <w:lang w:val="en-GB"/>
              </w:rPr>
              <w:t>Owner</w:t>
            </w:r>
          </w:p>
        </w:tc>
      </w:tr>
      <w:tr w:rsidR="00743624" w:rsidRPr="00817EA6" w14:paraId="6D4A829F" w14:textId="77777777" w:rsidTr="00942259">
        <w:tc>
          <w:tcPr>
            <w:tcW w:w="348" w:type="pct"/>
            <w:shd w:val="clear" w:color="auto" w:fill="auto"/>
          </w:tcPr>
          <w:p w14:paraId="3A513F96" w14:textId="77777777" w:rsidR="00743624" w:rsidRPr="00727948" w:rsidRDefault="00743624" w:rsidP="00942259">
            <w:pPr>
              <w:pStyle w:val="RepTable"/>
              <w:rPr>
                <w:highlight w:val="yellow"/>
              </w:rPr>
            </w:pPr>
            <w:r w:rsidRPr="00727948">
              <w:rPr>
                <w:highlight w:val="yellow"/>
              </w:rPr>
              <w:t>KCP XX</w:t>
            </w:r>
          </w:p>
        </w:tc>
        <w:tc>
          <w:tcPr>
            <w:tcW w:w="636" w:type="pct"/>
            <w:shd w:val="clear" w:color="auto" w:fill="auto"/>
          </w:tcPr>
          <w:p w14:paraId="5A0131DC" w14:textId="77777777" w:rsidR="00743624" w:rsidRPr="00727948" w:rsidRDefault="00743624" w:rsidP="00942259">
            <w:pPr>
              <w:pStyle w:val="RepTable"/>
              <w:rPr>
                <w:highlight w:val="yellow"/>
              </w:rPr>
            </w:pPr>
            <w:r w:rsidRPr="00727948">
              <w:rPr>
                <w:highlight w:val="yellow"/>
              </w:rPr>
              <w:t>Author</w:t>
            </w:r>
          </w:p>
        </w:tc>
        <w:tc>
          <w:tcPr>
            <w:tcW w:w="270" w:type="pct"/>
            <w:shd w:val="clear" w:color="auto" w:fill="auto"/>
          </w:tcPr>
          <w:p w14:paraId="7AE2B2FD" w14:textId="77777777" w:rsidR="00743624" w:rsidRPr="00727948" w:rsidRDefault="00743624" w:rsidP="00942259">
            <w:pPr>
              <w:pStyle w:val="RepTable"/>
              <w:jc w:val="center"/>
              <w:rPr>
                <w:highlight w:val="yellow"/>
              </w:rPr>
            </w:pPr>
            <w:r w:rsidRPr="00727948">
              <w:rPr>
                <w:highlight w:val="yellow"/>
              </w:rPr>
              <w:t>YYYY</w:t>
            </w:r>
          </w:p>
        </w:tc>
        <w:tc>
          <w:tcPr>
            <w:tcW w:w="2949" w:type="pct"/>
            <w:shd w:val="clear" w:color="auto" w:fill="auto"/>
          </w:tcPr>
          <w:p w14:paraId="65F98D97" w14:textId="77777777" w:rsidR="00743624" w:rsidRPr="00727948" w:rsidRDefault="00743624" w:rsidP="00942259">
            <w:pPr>
              <w:pStyle w:val="RepTable"/>
              <w:rPr>
                <w:highlight w:val="yellow"/>
              </w:rPr>
            </w:pPr>
            <w:r w:rsidRPr="00727948">
              <w:rPr>
                <w:highlight w:val="yellow"/>
              </w:rPr>
              <w:t>Title</w:t>
            </w:r>
          </w:p>
          <w:p w14:paraId="31B9D976" w14:textId="77777777" w:rsidR="00743624" w:rsidRPr="00727948" w:rsidRDefault="00743624" w:rsidP="00942259">
            <w:pPr>
              <w:pStyle w:val="RepTable"/>
              <w:rPr>
                <w:highlight w:val="yellow"/>
              </w:rPr>
            </w:pPr>
            <w:r w:rsidRPr="00727948">
              <w:rPr>
                <w:highlight w:val="yellow"/>
              </w:rPr>
              <w:t>Company Report N</w:t>
            </w:r>
          </w:p>
          <w:p w14:paraId="41D84428" w14:textId="77777777" w:rsidR="00743624" w:rsidRPr="00727948" w:rsidRDefault="00743624" w:rsidP="00942259">
            <w:pPr>
              <w:pStyle w:val="RepTable"/>
              <w:rPr>
                <w:highlight w:val="yellow"/>
              </w:rPr>
            </w:pPr>
            <w:r w:rsidRPr="00727948">
              <w:rPr>
                <w:highlight w:val="yellow"/>
              </w:rPr>
              <w:t>Source</w:t>
            </w:r>
          </w:p>
          <w:p w14:paraId="20BB8687" w14:textId="77777777" w:rsidR="00743624" w:rsidRPr="00727948" w:rsidRDefault="00743624" w:rsidP="00942259">
            <w:pPr>
              <w:pStyle w:val="RepTable"/>
              <w:rPr>
                <w:highlight w:val="yellow"/>
              </w:rPr>
            </w:pPr>
            <w:r w:rsidRPr="00727948">
              <w:rPr>
                <w:highlight w:val="yellow"/>
              </w:rPr>
              <w:t>GLP/non GLP/GEP/non GEP</w:t>
            </w:r>
          </w:p>
          <w:p w14:paraId="5524B445" w14:textId="77777777" w:rsidR="00743624" w:rsidRPr="00727948" w:rsidRDefault="00743624" w:rsidP="00942259">
            <w:pPr>
              <w:pStyle w:val="RepTable"/>
              <w:rPr>
                <w:highlight w:val="yellow"/>
              </w:rPr>
            </w:pPr>
            <w:r w:rsidRPr="00727948">
              <w:rPr>
                <w:highlight w:val="yellow"/>
              </w:rPr>
              <w:t>Published/Unpublished</w:t>
            </w:r>
          </w:p>
        </w:tc>
        <w:tc>
          <w:tcPr>
            <w:tcW w:w="357" w:type="pct"/>
            <w:shd w:val="clear" w:color="auto" w:fill="auto"/>
          </w:tcPr>
          <w:p w14:paraId="7C24A2FD" w14:textId="77777777" w:rsidR="00743624" w:rsidRPr="00727948" w:rsidRDefault="00743624" w:rsidP="00942259">
            <w:pPr>
              <w:pStyle w:val="RepTable"/>
              <w:jc w:val="center"/>
              <w:rPr>
                <w:highlight w:val="yellow"/>
              </w:rPr>
            </w:pPr>
            <w:r w:rsidRPr="00727948">
              <w:rPr>
                <w:highlight w:val="yellow"/>
              </w:rPr>
              <w:t>Y/N</w:t>
            </w:r>
          </w:p>
        </w:tc>
        <w:tc>
          <w:tcPr>
            <w:tcW w:w="440" w:type="pct"/>
            <w:shd w:val="clear" w:color="auto" w:fill="auto"/>
          </w:tcPr>
          <w:p w14:paraId="248DC1A4" w14:textId="77777777" w:rsidR="00743624" w:rsidRPr="00817EA6" w:rsidRDefault="00743624" w:rsidP="00942259">
            <w:pPr>
              <w:pStyle w:val="RepTable"/>
              <w:jc w:val="center"/>
            </w:pPr>
            <w:r w:rsidRPr="00727948">
              <w:rPr>
                <w:highlight w:val="yellow"/>
              </w:rPr>
              <w:t>Owner</w:t>
            </w:r>
          </w:p>
        </w:tc>
      </w:tr>
    </w:tbl>
    <w:p w14:paraId="5E8209FE" w14:textId="77777777" w:rsidR="00743624" w:rsidRPr="00817EA6" w:rsidRDefault="00743624" w:rsidP="00743624">
      <w:pPr>
        <w:pStyle w:val="RepStandard"/>
      </w:pPr>
    </w:p>
    <w:p w14:paraId="3DC63568" w14:textId="77777777" w:rsidR="00743624" w:rsidRPr="00817EA6" w:rsidRDefault="00743624" w:rsidP="00743624">
      <w:pPr>
        <w:pStyle w:val="RepNewPart"/>
      </w:pPr>
      <w:r w:rsidRPr="00817EA6">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743624" w:rsidRPr="00817EA6" w14:paraId="2A658797" w14:textId="77777777" w:rsidTr="009F5A83">
        <w:trPr>
          <w:tblHeader/>
        </w:trPr>
        <w:tc>
          <w:tcPr>
            <w:tcW w:w="348" w:type="pct"/>
            <w:shd w:val="clear" w:color="auto" w:fill="auto"/>
            <w:vAlign w:val="center"/>
          </w:tcPr>
          <w:p w14:paraId="77FBB257" w14:textId="77777777" w:rsidR="00743624" w:rsidRPr="00817EA6" w:rsidRDefault="00743624" w:rsidP="009F5A83">
            <w:pPr>
              <w:pStyle w:val="RepTableHeader"/>
              <w:jc w:val="center"/>
              <w:rPr>
                <w:lang w:val="en-GB"/>
              </w:rPr>
            </w:pPr>
            <w:r w:rsidRPr="00817EA6">
              <w:rPr>
                <w:lang w:val="en-GB"/>
              </w:rPr>
              <w:t>Data point</w:t>
            </w:r>
          </w:p>
        </w:tc>
        <w:tc>
          <w:tcPr>
            <w:tcW w:w="636" w:type="pct"/>
            <w:shd w:val="clear" w:color="auto" w:fill="auto"/>
            <w:vAlign w:val="center"/>
          </w:tcPr>
          <w:p w14:paraId="0DF5B276" w14:textId="77777777" w:rsidR="00743624" w:rsidRPr="00817EA6" w:rsidRDefault="00743624" w:rsidP="009F5A83">
            <w:pPr>
              <w:pStyle w:val="RepTableHeader"/>
              <w:jc w:val="center"/>
              <w:rPr>
                <w:lang w:val="en-GB"/>
              </w:rPr>
            </w:pPr>
            <w:r w:rsidRPr="00817EA6">
              <w:rPr>
                <w:lang w:val="en-GB"/>
              </w:rPr>
              <w:t>Author(s)</w:t>
            </w:r>
          </w:p>
        </w:tc>
        <w:tc>
          <w:tcPr>
            <w:tcW w:w="270" w:type="pct"/>
            <w:shd w:val="clear" w:color="auto" w:fill="auto"/>
            <w:vAlign w:val="center"/>
          </w:tcPr>
          <w:p w14:paraId="25CC2047" w14:textId="77777777" w:rsidR="00743624" w:rsidRPr="00817EA6" w:rsidRDefault="00743624" w:rsidP="009F5A83">
            <w:pPr>
              <w:pStyle w:val="RepTableHeader"/>
              <w:jc w:val="center"/>
              <w:rPr>
                <w:lang w:val="en-GB"/>
              </w:rPr>
            </w:pPr>
            <w:r w:rsidRPr="00817EA6">
              <w:rPr>
                <w:lang w:val="en-GB"/>
              </w:rPr>
              <w:t>Year</w:t>
            </w:r>
          </w:p>
        </w:tc>
        <w:tc>
          <w:tcPr>
            <w:tcW w:w="2949" w:type="pct"/>
            <w:shd w:val="clear" w:color="auto" w:fill="auto"/>
            <w:vAlign w:val="center"/>
          </w:tcPr>
          <w:p w14:paraId="22FEFB3E" w14:textId="77777777" w:rsidR="00743624" w:rsidRPr="00817EA6" w:rsidRDefault="00743624" w:rsidP="009F5A83">
            <w:pPr>
              <w:pStyle w:val="RepTableHeader"/>
              <w:jc w:val="center"/>
              <w:rPr>
                <w:lang w:val="en-GB"/>
              </w:rPr>
            </w:pPr>
            <w:r w:rsidRPr="00817EA6">
              <w:rPr>
                <w:lang w:val="en-GB"/>
              </w:rPr>
              <w:t>Title</w:t>
            </w:r>
            <w:r w:rsidRPr="00817EA6">
              <w:rPr>
                <w:lang w:val="en-GB"/>
              </w:rPr>
              <w:br/>
              <w:t>Company Report No.</w:t>
            </w:r>
            <w:r w:rsidRPr="00817EA6">
              <w:rPr>
                <w:lang w:val="en-GB"/>
              </w:rPr>
              <w:tab/>
            </w:r>
            <w:r w:rsidRPr="00817EA6">
              <w:rPr>
                <w:lang w:val="en-GB"/>
              </w:rPr>
              <w:br/>
              <w:t>Source (where different from company)</w:t>
            </w:r>
            <w:r w:rsidRPr="00817EA6">
              <w:rPr>
                <w:lang w:val="en-GB"/>
              </w:rPr>
              <w:br/>
              <w:t>GLP or GEP status</w:t>
            </w:r>
            <w:r w:rsidRPr="00817EA6">
              <w:rPr>
                <w:lang w:val="en-GB"/>
              </w:rPr>
              <w:br/>
              <w:t>Published or not</w:t>
            </w:r>
          </w:p>
        </w:tc>
        <w:tc>
          <w:tcPr>
            <w:tcW w:w="357" w:type="pct"/>
            <w:shd w:val="clear" w:color="auto" w:fill="auto"/>
            <w:vAlign w:val="center"/>
          </w:tcPr>
          <w:p w14:paraId="2AF93CE3" w14:textId="77777777" w:rsidR="00743624" w:rsidRPr="00817EA6" w:rsidRDefault="00743624" w:rsidP="009F5A83">
            <w:pPr>
              <w:pStyle w:val="RepTableHeader"/>
              <w:jc w:val="center"/>
              <w:rPr>
                <w:lang w:val="en-GB"/>
              </w:rPr>
            </w:pPr>
            <w:r w:rsidRPr="00817EA6">
              <w:rPr>
                <w:lang w:val="en-GB"/>
              </w:rPr>
              <w:t>Vertebrate study</w:t>
            </w:r>
          </w:p>
          <w:p w14:paraId="36A18F41" w14:textId="77777777" w:rsidR="00743624" w:rsidRPr="00817EA6" w:rsidRDefault="00743624" w:rsidP="009F5A83">
            <w:pPr>
              <w:pStyle w:val="RepTableHeader"/>
              <w:jc w:val="center"/>
              <w:rPr>
                <w:lang w:val="en-GB"/>
              </w:rPr>
            </w:pPr>
            <w:r w:rsidRPr="00817EA6">
              <w:rPr>
                <w:lang w:val="en-GB"/>
              </w:rPr>
              <w:t>Y/N</w:t>
            </w:r>
          </w:p>
        </w:tc>
        <w:tc>
          <w:tcPr>
            <w:tcW w:w="440" w:type="pct"/>
            <w:shd w:val="clear" w:color="auto" w:fill="auto"/>
            <w:vAlign w:val="center"/>
          </w:tcPr>
          <w:p w14:paraId="6F0192B1" w14:textId="77777777" w:rsidR="00743624" w:rsidRPr="00817EA6" w:rsidRDefault="00743624" w:rsidP="009F5A83">
            <w:pPr>
              <w:pStyle w:val="RepTableHeader"/>
              <w:jc w:val="center"/>
              <w:rPr>
                <w:lang w:val="en-GB"/>
              </w:rPr>
            </w:pPr>
            <w:r w:rsidRPr="00817EA6">
              <w:rPr>
                <w:lang w:val="en-GB"/>
              </w:rPr>
              <w:t>Owner</w:t>
            </w:r>
          </w:p>
        </w:tc>
      </w:tr>
      <w:tr w:rsidR="00743624" w:rsidRPr="00817EA6" w14:paraId="548C8F8D" w14:textId="77777777" w:rsidTr="00942259">
        <w:tc>
          <w:tcPr>
            <w:tcW w:w="348" w:type="pct"/>
            <w:shd w:val="clear" w:color="auto" w:fill="auto"/>
          </w:tcPr>
          <w:p w14:paraId="140F65EE" w14:textId="77777777" w:rsidR="00743624" w:rsidRPr="00727948" w:rsidRDefault="00743624" w:rsidP="00942259">
            <w:pPr>
              <w:pStyle w:val="RepTable"/>
              <w:rPr>
                <w:highlight w:val="yellow"/>
              </w:rPr>
            </w:pPr>
            <w:r w:rsidRPr="00727948">
              <w:rPr>
                <w:highlight w:val="yellow"/>
              </w:rPr>
              <w:t>KCP XX</w:t>
            </w:r>
          </w:p>
        </w:tc>
        <w:tc>
          <w:tcPr>
            <w:tcW w:w="636" w:type="pct"/>
            <w:shd w:val="clear" w:color="auto" w:fill="auto"/>
          </w:tcPr>
          <w:p w14:paraId="2DC6062C" w14:textId="77777777" w:rsidR="00743624" w:rsidRPr="00727948" w:rsidRDefault="00743624" w:rsidP="00942259">
            <w:pPr>
              <w:pStyle w:val="RepTable"/>
              <w:rPr>
                <w:highlight w:val="yellow"/>
              </w:rPr>
            </w:pPr>
            <w:r w:rsidRPr="00727948">
              <w:rPr>
                <w:highlight w:val="yellow"/>
              </w:rPr>
              <w:t>Author</w:t>
            </w:r>
          </w:p>
        </w:tc>
        <w:tc>
          <w:tcPr>
            <w:tcW w:w="270" w:type="pct"/>
            <w:shd w:val="clear" w:color="auto" w:fill="auto"/>
          </w:tcPr>
          <w:p w14:paraId="20E78DFE" w14:textId="77777777" w:rsidR="00743624" w:rsidRPr="00727948" w:rsidRDefault="00743624" w:rsidP="00942259">
            <w:pPr>
              <w:pStyle w:val="RepTable"/>
              <w:jc w:val="center"/>
              <w:rPr>
                <w:highlight w:val="yellow"/>
              </w:rPr>
            </w:pPr>
            <w:r w:rsidRPr="00727948">
              <w:rPr>
                <w:highlight w:val="yellow"/>
              </w:rPr>
              <w:t>YYYY</w:t>
            </w:r>
          </w:p>
        </w:tc>
        <w:tc>
          <w:tcPr>
            <w:tcW w:w="2949" w:type="pct"/>
            <w:shd w:val="clear" w:color="auto" w:fill="auto"/>
          </w:tcPr>
          <w:p w14:paraId="6E3F121A" w14:textId="77777777" w:rsidR="00743624" w:rsidRPr="00727948" w:rsidRDefault="00743624" w:rsidP="00942259">
            <w:pPr>
              <w:pStyle w:val="RepTable"/>
              <w:rPr>
                <w:highlight w:val="yellow"/>
              </w:rPr>
            </w:pPr>
            <w:r w:rsidRPr="00727948">
              <w:rPr>
                <w:highlight w:val="yellow"/>
              </w:rPr>
              <w:t>Title</w:t>
            </w:r>
          </w:p>
          <w:p w14:paraId="04A65E91" w14:textId="77777777" w:rsidR="00743624" w:rsidRPr="00727948" w:rsidRDefault="00743624" w:rsidP="00942259">
            <w:pPr>
              <w:pStyle w:val="RepTable"/>
              <w:rPr>
                <w:highlight w:val="yellow"/>
              </w:rPr>
            </w:pPr>
            <w:r w:rsidRPr="00727948">
              <w:rPr>
                <w:highlight w:val="yellow"/>
              </w:rPr>
              <w:t>Company Report N</w:t>
            </w:r>
          </w:p>
          <w:p w14:paraId="7D86A289" w14:textId="77777777" w:rsidR="00743624" w:rsidRPr="00727948" w:rsidRDefault="00743624" w:rsidP="00942259">
            <w:pPr>
              <w:pStyle w:val="RepTable"/>
              <w:rPr>
                <w:highlight w:val="yellow"/>
              </w:rPr>
            </w:pPr>
            <w:r w:rsidRPr="00727948">
              <w:rPr>
                <w:highlight w:val="yellow"/>
              </w:rPr>
              <w:t>Source</w:t>
            </w:r>
          </w:p>
          <w:p w14:paraId="31165503" w14:textId="77777777" w:rsidR="00743624" w:rsidRPr="00727948" w:rsidRDefault="00743624" w:rsidP="00942259">
            <w:pPr>
              <w:pStyle w:val="RepTable"/>
              <w:rPr>
                <w:highlight w:val="yellow"/>
              </w:rPr>
            </w:pPr>
            <w:r w:rsidRPr="00727948">
              <w:rPr>
                <w:highlight w:val="yellow"/>
              </w:rPr>
              <w:t>GLP/non GLP/GEP/non GEP</w:t>
            </w:r>
          </w:p>
          <w:p w14:paraId="40C815A7" w14:textId="77777777" w:rsidR="00743624" w:rsidRPr="00727948" w:rsidRDefault="00743624" w:rsidP="00942259">
            <w:pPr>
              <w:pStyle w:val="RepTable"/>
              <w:rPr>
                <w:highlight w:val="yellow"/>
              </w:rPr>
            </w:pPr>
            <w:r w:rsidRPr="00727948">
              <w:rPr>
                <w:highlight w:val="yellow"/>
              </w:rPr>
              <w:t>Published/Unpublished</w:t>
            </w:r>
          </w:p>
        </w:tc>
        <w:tc>
          <w:tcPr>
            <w:tcW w:w="357" w:type="pct"/>
            <w:shd w:val="clear" w:color="auto" w:fill="auto"/>
          </w:tcPr>
          <w:p w14:paraId="56F37F09" w14:textId="77777777" w:rsidR="00743624" w:rsidRPr="00727948" w:rsidRDefault="00743624" w:rsidP="00942259">
            <w:pPr>
              <w:pStyle w:val="RepTable"/>
              <w:jc w:val="center"/>
              <w:rPr>
                <w:highlight w:val="yellow"/>
              </w:rPr>
            </w:pPr>
            <w:r w:rsidRPr="00727948">
              <w:rPr>
                <w:highlight w:val="yellow"/>
              </w:rPr>
              <w:t>Y/N</w:t>
            </w:r>
          </w:p>
        </w:tc>
        <w:tc>
          <w:tcPr>
            <w:tcW w:w="440" w:type="pct"/>
            <w:shd w:val="clear" w:color="auto" w:fill="auto"/>
          </w:tcPr>
          <w:p w14:paraId="565D4E2A" w14:textId="77777777" w:rsidR="00743624" w:rsidRPr="00817EA6" w:rsidRDefault="00743624" w:rsidP="00942259">
            <w:pPr>
              <w:pStyle w:val="RepTable"/>
              <w:jc w:val="center"/>
            </w:pPr>
            <w:r w:rsidRPr="00727948">
              <w:rPr>
                <w:highlight w:val="yellow"/>
              </w:rPr>
              <w:t>Owner</w:t>
            </w:r>
          </w:p>
        </w:tc>
      </w:tr>
    </w:tbl>
    <w:p w14:paraId="2F6BFC73" w14:textId="77777777" w:rsidR="00743624" w:rsidRPr="00817EA6" w:rsidRDefault="00743624" w:rsidP="00743624">
      <w:pPr>
        <w:pStyle w:val="RepStandard"/>
        <w:rPr>
          <w:sz w:val="20"/>
        </w:rPr>
      </w:pPr>
    </w:p>
    <w:p w14:paraId="5CC094A7" w14:textId="77777777" w:rsidR="00743624" w:rsidRPr="00817EA6" w:rsidRDefault="00743624" w:rsidP="00743624">
      <w:pPr>
        <w:pStyle w:val="RepAppendix1"/>
        <w:numPr>
          <w:ilvl w:val="0"/>
          <w:numId w:val="22"/>
        </w:numPr>
        <w:sectPr w:rsidR="00743624" w:rsidRPr="00817EA6" w:rsidSect="009D2062">
          <w:headerReference w:type="default" r:id="rId23"/>
          <w:footerReference w:type="even" r:id="rId24"/>
          <w:footerReference w:type="default" r:id="rId25"/>
          <w:footerReference w:type="first" r:id="rId26"/>
          <w:pgSz w:w="16834" w:h="11909" w:orient="landscape" w:code="9"/>
          <w:pgMar w:top="1417" w:right="1134" w:bottom="1134" w:left="1134" w:header="709" w:footer="709" w:gutter="0"/>
          <w:pgNumType w:chapSep="period"/>
          <w:cols w:space="720"/>
          <w:noEndnote/>
          <w:docGrid w:linePitch="299"/>
        </w:sectPr>
      </w:pPr>
    </w:p>
    <w:p w14:paraId="6313B271" w14:textId="77777777" w:rsidR="00504C0B" w:rsidRPr="00817EA6" w:rsidRDefault="00504C0B" w:rsidP="00E27A13">
      <w:pPr>
        <w:pStyle w:val="RepAppendix1"/>
      </w:pPr>
      <w:bookmarkStart w:id="202" w:name="_Toc412025993"/>
      <w:bookmarkStart w:id="203" w:name="_Toc413754724"/>
      <w:bookmarkStart w:id="204" w:name="_Toc413755125"/>
      <w:bookmarkStart w:id="205" w:name="_Toc413755151"/>
      <w:bookmarkStart w:id="206" w:name="_Toc413755176"/>
      <w:bookmarkStart w:id="207" w:name="_Toc413941052"/>
      <w:bookmarkStart w:id="208" w:name="_Toc413943202"/>
      <w:bookmarkStart w:id="209" w:name="_Toc414542751"/>
      <w:bookmarkStart w:id="210" w:name="_Toc414545001"/>
      <w:bookmarkStart w:id="211" w:name="_Toc414545028"/>
      <w:bookmarkStart w:id="212" w:name="_Toc414608136"/>
      <w:bookmarkStart w:id="213" w:name="_Ref415227364"/>
      <w:bookmarkStart w:id="214" w:name="_Ref415227881"/>
      <w:bookmarkStart w:id="215" w:name="_Toc415230190"/>
      <w:bookmarkStart w:id="216" w:name="_Toc181622191"/>
      <w:bookmarkStart w:id="217" w:name="_Toc231647950"/>
      <w:bookmarkStart w:id="218" w:name="_Toc233107966"/>
      <w:bookmarkStart w:id="219" w:name="_Toc236451825"/>
      <w:bookmarkStart w:id="220" w:name="_Toc240627025"/>
      <w:r w:rsidRPr="00817EA6">
        <w:lastRenderedPageBreak/>
        <w:t>Additional information</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817EA6">
        <w:t xml:space="preserve"> </w:t>
      </w:r>
      <w:bookmarkEnd w:id="217"/>
      <w:bookmarkEnd w:id="218"/>
      <w:bookmarkEnd w:id="219"/>
      <w:bookmarkEnd w:id="220"/>
    </w:p>
    <w:p w14:paraId="3864CA78" w14:textId="77777777" w:rsidR="00453127" w:rsidRPr="00453127" w:rsidRDefault="00453127" w:rsidP="00453127">
      <w:r w:rsidRPr="00817EA6">
        <w:t>Not relevant.</w:t>
      </w:r>
    </w:p>
    <w:sectPr w:rsidR="00453127" w:rsidRPr="00453127" w:rsidSect="0030205B">
      <w:headerReference w:type="even" r:id="rId27"/>
      <w:headerReference w:type="default" r:id="rId28"/>
      <w:footerReference w:type="even" r:id="rId29"/>
      <w:footerReference w:type="default" r:id="rId30"/>
      <w:headerReference w:type="first" r:id="rId31"/>
      <w:footerReference w:type="first" r:id="rId32"/>
      <w:pgSz w:w="11909" w:h="16834" w:code="9"/>
      <w:pgMar w:top="1417" w:right="1134" w:bottom="1134" w:left="1417" w:header="709" w:footer="709"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69C91" w14:textId="77777777" w:rsidR="009027FB" w:rsidRDefault="009027FB">
      <w:r>
        <w:separator/>
      </w:r>
    </w:p>
  </w:endnote>
  <w:endnote w:type="continuationSeparator" w:id="0">
    <w:p w14:paraId="2DB86BCA" w14:textId="77777777" w:rsidR="009027FB" w:rsidRDefault="0090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1EE70" w14:textId="7DD2413F" w:rsidR="00296320" w:rsidRDefault="00296320" w:rsidP="00166B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0334F4B7" w14:textId="77777777" w:rsidR="00296320" w:rsidRDefault="00296320"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40526" w14:textId="71C86C51" w:rsidR="00296320" w:rsidRDefault="0029632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6DF66" w14:textId="09EA04D7" w:rsidR="00296320" w:rsidRPr="009B6A86" w:rsidRDefault="00296320" w:rsidP="009B6A86">
    <w:pPr>
      <w:pStyle w:val="Stopka"/>
      <w:tabs>
        <w:tab w:val="clear" w:pos="4536"/>
        <w:tab w:val="clear" w:pos="9072"/>
        <w:tab w:val="right" w:pos="9354"/>
      </w:tabs>
      <w:rPr>
        <w:rFonts w:ascii="Arial" w:hAnsi="Arial" w:cs="Arial"/>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DC0D9" w14:textId="519CDD7E" w:rsidR="00296320" w:rsidRDefault="00296320">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B5B09" w14:textId="481B1261" w:rsidR="00296320" w:rsidRDefault="00296320">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68953" w14:textId="75292FC8" w:rsidR="00296320" w:rsidRPr="009B6A86" w:rsidRDefault="00296320" w:rsidP="009B6A86">
    <w:pPr>
      <w:pStyle w:val="Stopka"/>
      <w:tabs>
        <w:tab w:val="clear" w:pos="4536"/>
        <w:tab w:val="clear" w:pos="9072"/>
        <w:tab w:val="right" w:pos="9354"/>
      </w:tabs>
      <w:rPr>
        <w:rFonts w:ascii="Arial" w:hAnsi="Arial" w:cs="Arial"/>
        <w:sz w:val="16"/>
        <w:szCs w:val="16"/>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BDBD7" w14:textId="1F1EA192" w:rsidR="00296320" w:rsidRDefault="00296320">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5818" w14:textId="0DF585E7" w:rsidR="00296320" w:rsidRDefault="00296320">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01A63" w14:textId="6172D8D6" w:rsidR="00296320" w:rsidRPr="009B6A86" w:rsidRDefault="00296320" w:rsidP="009B6A86">
    <w:pPr>
      <w:pStyle w:val="Stopka"/>
      <w:tabs>
        <w:tab w:val="clear" w:pos="4536"/>
        <w:tab w:val="clear" w:pos="9072"/>
        <w:tab w:val="right" w:pos="9354"/>
      </w:tabs>
      <w:rPr>
        <w:rFonts w:ascii="Arial" w:hAnsi="Arial" w:cs="Arial"/>
        <w:sz w:val="16"/>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C11FE" w14:textId="19C2CE59" w:rsidR="00296320" w:rsidRDefault="002963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FC223" w14:textId="013232C4" w:rsidR="00296320" w:rsidRPr="009B6A86" w:rsidRDefault="00296320" w:rsidP="009B6A86">
    <w:pPr>
      <w:pStyle w:val="Stopka"/>
      <w:tabs>
        <w:tab w:val="clear" w:pos="4536"/>
        <w:tab w:val="clear" w:pos="9072"/>
        <w:tab w:val="right" w:pos="9354"/>
      </w:tabs>
      <w:rPr>
        <w:rFonts w:ascii="Arial" w:hAnsi="Arial" w:cs="Arial"/>
        <w:sz w:val="16"/>
        <w:szCs w:val="16"/>
      </w:rPr>
    </w:pPr>
    <w:r w:rsidRPr="00FD02D7">
      <w:rPr>
        <w:rFonts w:ascii="Arial" w:hAnsi="Arial" w:cs="Arial"/>
        <w:sz w:val="16"/>
        <w:szCs w:val="16"/>
      </w:rPr>
      <w:t>Author/Contributor – Date</w:t>
    </w:r>
    <w:r w:rsidRPr="00FD02D7">
      <w:rPr>
        <w:rFonts w:ascii="Arial" w:hAnsi="Arial" w:cs="Arial"/>
        <w:sz w:val="16"/>
        <w:szCs w:val="16"/>
      </w:rPr>
      <w:tab/>
      <w:t xml:space="preserve">BASF </w:t>
    </w:r>
    <w:proofErr w:type="spellStart"/>
    <w:r w:rsidRPr="00FD02D7">
      <w:rPr>
        <w:rFonts w:ascii="Arial" w:hAnsi="Arial" w:cs="Arial"/>
        <w:sz w:val="16"/>
        <w:szCs w:val="16"/>
      </w:rPr>
      <w:t>DocID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881DA" w14:textId="547D63AB" w:rsidR="00296320" w:rsidRPr="009B6A86" w:rsidRDefault="00296320" w:rsidP="009B6A86">
    <w:pPr>
      <w:pStyle w:val="Stopka"/>
      <w:tabs>
        <w:tab w:val="clear" w:pos="4536"/>
        <w:tab w:val="clear" w:pos="9072"/>
        <w:tab w:val="right" w:pos="9354"/>
      </w:tabs>
      <w:rPr>
        <w:rFonts w:ascii="Arial" w:hAnsi="Arial" w:cs="Arial"/>
        <w:sz w:val="16"/>
        <w:szCs w:val="16"/>
      </w:rPr>
    </w:pPr>
    <w:r w:rsidRPr="00FD02D7">
      <w:rPr>
        <w:rFonts w:ascii="Arial" w:hAnsi="Arial" w:cs="Arial"/>
        <w:sz w:val="16"/>
        <w:szCs w:val="16"/>
      </w:rPr>
      <w:tab/>
    </w:r>
    <w:r w:rsidR="001667FF">
      <w:rPr>
        <w:rFonts w:ascii="Arial" w:hAnsi="Arial" w:cs="Arial"/>
        <w:sz w:val="16"/>
        <w:szCs w:val="16"/>
      </w:rPr>
      <w:t>XXXX</w:t>
    </w:r>
    <w:r w:rsidRPr="00FD02D7">
      <w:rPr>
        <w:rFonts w:ascii="Arial" w:hAnsi="Arial" w:cs="Arial"/>
        <w:sz w:val="16"/>
        <w:szCs w:val="16"/>
      </w:rPr>
      <w:t xml:space="preserve"> </w:t>
    </w:r>
    <w:proofErr w:type="spellStart"/>
    <w:r w:rsidRPr="00FD02D7">
      <w:rPr>
        <w:rFonts w:ascii="Arial" w:hAnsi="Arial" w:cs="Arial"/>
        <w:sz w:val="16"/>
        <w:szCs w:val="16"/>
      </w:rPr>
      <w:t>DocID</w:t>
    </w:r>
    <w:proofErr w:type="spellEnd"/>
    <w:r>
      <w:rPr>
        <w:rFonts w:ascii="Arial" w:hAnsi="Arial" w:cs="Arial"/>
        <w:sz w:val="16"/>
        <w:szCs w:val="16"/>
      </w:rPr>
      <w:t xml:space="preserve"> </w:t>
    </w:r>
    <w:r w:rsidRPr="00853E3C">
      <w:rPr>
        <w:rFonts w:ascii="Arial" w:hAnsi="Arial" w:cs="Arial"/>
        <w:sz w:val="16"/>
        <w:szCs w:val="16"/>
        <w:highlight w:val="yellow"/>
      </w:rPr>
      <w:t>2024/2031545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50D2F" w14:textId="363E080E" w:rsidR="00296320" w:rsidRDefault="0029632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BCC27" w14:textId="3A3C4C0B" w:rsidR="00296320" w:rsidRPr="009B6A86" w:rsidRDefault="00296320" w:rsidP="009B6A86">
    <w:pPr>
      <w:pStyle w:val="Stopka"/>
      <w:tabs>
        <w:tab w:val="clear" w:pos="4536"/>
        <w:tab w:val="clear" w:pos="9072"/>
        <w:tab w:val="right" w:pos="9354"/>
      </w:tabs>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BD625" w14:textId="3F4E4F12" w:rsidR="00296320" w:rsidRDefault="0029632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C3227" w14:textId="0E3FC3FC" w:rsidR="00296320" w:rsidRDefault="0029632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3C16" w14:textId="0EA5EB47" w:rsidR="00296320" w:rsidRPr="009B6A86" w:rsidRDefault="00296320" w:rsidP="009B6A86">
    <w:pPr>
      <w:pStyle w:val="Stopka"/>
      <w:tabs>
        <w:tab w:val="clear" w:pos="4536"/>
        <w:tab w:val="clear" w:pos="9072"/>
        <w:tab w:val="right" w:pos="9354"/>
      </w:tabs>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ACE50" w14:textId="30F052D1" w:rsidR="00296320" w:rsidRDefault="002963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209CD" w14:textId="77777777" w:rsidR="009027FB" w:rsidRDefault="009027FB">
      <w:r>
        <w:separator/>
      </w:r>
    </w:p>
  </w:footnote>
  <w:footnote w:type="continuationSeparator" w:id="0">
    <w:p w14:paraId="4E7D5DAB" w14:textId="77777777" w:rsidR="009027FB" w:rsidRDefault="009027FB">
      <w:r>
        <w:continuationSeparator/>
      </w:r>
    </w:p>
  </w:footnote>
  <w:footnote w:id="1">
    <w:p w14:paraId="52104781" w14:textId="77777777" w:rsidR="00296320" w:rsidRDefault="00296320" w:rsidP="00453127">
      <w:pPr>
        <w:pStyle w:val="Tekstprzypisudolnego"/>
        <w:ind w:left="142" w:hanging="142"/>
      </w:pPr>
      <w:r>
        <w:rPr>
          <w:rStyle w:val="Odwoanieprzypisudolnego"/>
        </w:rPr>
        <w:footnoteRef/>
      </w:r>
      <w:r>
        <w:t xml:space="preserve"> </w:t>
      </w:r>
      <w:bookmarkStart w:id="29" w:name="_Hlk113433901"/>
      <w:r w:rsidRPr="007018E2">
        <w:rPr>
          <w:sz w:val="18"/>
          <w:szCs w:val="18"/>
        </w:rPr>
        <w:t xml:space="preserve">European Commission </w:t>
      </w:r>
      <w:r>
        <w:rPr>
          <w:sz w:val="18"/>
          <w:szCs w:val="18"/>
        </w:rPr>
        <w:t>(</w:t>
      </w:r>
      <w:r w:rsidRPr="007018E2">
        <w:rPr>
          <w:sz w:val="18"/>
          <w:szCs w:val="18"/>
        </w:rPr>
        <w:t>20</w:t>
      </w:r>
      <w:r>
        <w:rPr>
          <w:sz w:val="18"/>
          <w:szCs w:val="18"/>
        </w:rPr>
        <w:t>21):</w:t>
      </w:r>
      <w:r w:rsidRPr="007018E2">
        <w:rPr>
          <w:sz w:val="18"/>
          <w:szCs w:val="18"/>
        </w:rPr>
        <w:t xml:space="preserve"> Guidance Document on Assessment of the Relevance of Metabolites in Groundwater of Substances Regulated under </w:t>
      </w:r>
      <w:r>
        <w:rPr>
          <w:sz w:val="18"/>
          <w:szCs w:val="18"/>
        </w:rPr>
        <w:t>Regulation (EC) No 1107/2009</w:t>
      </w:r>
      <w:r w:rsidRPr="007018E2">
        <w:rPr>
          <w:sz w:val="18"/>
          <w:szCs w:val="18"/>
        </w:rPr>
        <w:t>. SANCO/221/2000-rev. 1</w:t>
      </w:r>
      <w:r>
        <w:rPr>
          <w:sz w:val="18"/>
          <w:szCs w:val="18"/>
        </w:rPr>
        <w:t>1</w:t>
      </w:r>
      <w:r w:rsidRPr="007018E2">
        <w:rPr>
          <w:sz w:val="18"/>
          <w:szCs w:val="18"/>
        </w:rPr>
        <w:t xml:space="preserve">, </w:t>
      </w:r>
      <w:r>
        <w:rPr>
          <w:sz w:val="18"/>
          <w:szCs w:val="18"/>
        </w:rPr>
        <w:t>21</w:t>
      </w:r>
      <w:r w:rsidRPr="007018E2">
        <w:rPr>
          <w:sz w:val="18"/>
          <w:szCs w:val="18"/>
        </w:rPr>
        <w:t xml:space="preserve"> </w:t>
      </w:r>
      <w:r>
        <w:rPr>
          <w:sz w:val="18"/>
          <w:szCs w:val="18"/>
        </w:rPr>
        <w:t>October</w:t>
      </w:r>
      <w:r w:rsidRPr="007018E2">
        <w:rPr>
          <w:sz w:val="18"/>
          <w:szCs w:val="18"/>
        </w:rPr>
        <w:t xml:space="preserve"> 20</w:t>
      </w:r>
      <w:r>
        <w:rPr>
          <w:sz w:val="18"/>
          <w:szCs w:val="18"/>
        </w:rPr>
        <w:t>21</w:t>
      </w:r>
      <w:bookmarkEnd w:id="29"/>
    </w:p>
  </w:footnote>
  <w:footnote w:id="2">
    <w:p w14:paraId="779C1EDF" w14:textId="77777777" w:rsidR="00296320" w:rsidRPr="00032FF5" w:rsidRDefault="00296320" w:rsidP="00453127">
      <w:pPr>
        <w:pStyle w:val="Tekstprzypisudolnego"/>
        <w:ind w:left="142" w:hanging="142"/>
        <w:rPr>
          <w:sz w:val="18"/>
          <w:szCs w:val="18"/>
        </w:rPr>
      </w:pPr>
      <w:r w:rsidRPr="00032FF5">
        <w:rPr>
          <w:rStyle w:val="Odwoanieprzypisudolnego"/>
          <w:sz w:val="18"/>
          <w:szCs w:val="18"/>
        </w:rPr>
        <w:footnoteRef/>
      </w:r>
      <w:r w:rsidRPr="00032FF5">
        <w:rPr>
          <w:sz w:val="18"/>
          <w:szCs w:val="18"/>
        </w:rPr>
        <w:t xml:space="preserve"> DAR (2011): Draft assessment report (DAR), Initial risk assessment provided by the rapporteur Member State The Netherlands for the new active substance BAS 650F of the review </w:t>
      </w:r>
      <w:proofErr w:type="spellStart"/>
      <w:r w:rsidRPr="00032FF5">
        <w:rPr>
          <w:sz w:val="18"/>
          <w:szCs w:val="18"/>
        </w:rPr>
        <w:t>programme</w:t>
      </w:r>
      <w:proofErr w:type="spellEnd"/>
      <w:r w:rsidRPr="00032FF5">
        <w:rPr>
          <w:sz w:val="18"/>
          <w:szCs w:val="18"/>
        </w:rPr>
        <w:t xml:space="preserve"> referred to in Article 11(1) of Commission Regulation (EC) No 1107/2009, Volume 3 B8, October 2011.</w:t>
      </w:r>
    </w:p>
  </w:footnote>
  <w:footnote w:id="3">
    <w:p w14:paraId="3B5959D5" w14:textId="77777777" w:rsidR="00296320" w:rsidRPr="00E134C2" w:rsidRDefault="00296320" w:rsidP="00453127">
      <w:pPr>
        <w:pStyle w:val="Tekstprzypisudolnego"/>
        <w:ind w:left="142" w:hanging="142"/>
        <w:rPr>
          <w:lang w:val="en-GB"/>
        </w:rPr>
      </w:pPr>
      <w:r w:rsidRPr="00032FF5">
        <w:rPr>
          <w:rStyle w:val="Odwoanieprzypisudolnego"/>
          <w:sz w:val="18"/>
          <w:szCs w:val="18"/>
        </w:rPr>
        <w:footnoteRef/>
      </w:r>
      <w:r w:rsidRPr="00032FF5">
        <w:rPr>
          <w:sz w:val="18"/>
          <w:szCs w:val="18"/>
        </w:rPr>
        <w:t xml:space="preserve"> </w:t>
      </w:r>
      <w:r w:rsidRPr="00032FF5">
        <w:rPr>
          <w:sz w:val="18"/>
          <w:szCs w:val="18"/>
          <w:lang w:val="en-GB"/>
        </w:rPr>
        <w:t xml:space="preserve">EFSA (2012): Conclusion on the peer review of the pesticide risk assessment of the active substance </w:t>
      </w:r>
      <w:proofErr w:type="spellStart"/>
      <w:r w:rsidRPr="00032FF5">
        <w:rPr>
          <w:sz w:val="18"/>
          <w:szCs w:val="18"/>
          <w:lang w:val="en-GB"/>
        </w:rPr>
        <w:t>ametoctradin</w:t>
      </w:r>
      <w:proofErr w:type="spellEnd"/>
      <w:r w:rsidRPr="00032FF5">
        <w:rPr>
          <w:sz w:val="18"/>
          <w:szCs w:val="18"/>
          <w:lang w:val="en-GB"/>
        </w:rPr>
        <w:t xml:space="preserve"> (BAS 650 F). EFSA Journal 2012;10(11):2921.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53C6E" w14:textId="77777777" w:rsidR="00296320" w:rsidRPr="00627B72" w:rsidRDefault="00296320"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627B72">
      <w:rPr>
        <w:rFonts w:ascii="Arial" w:hAnsi="Arial" w:cs="Arial"/>
        <w:noProof/>
        <w:sz w:val="16"/>
        <w:szCs w:val="16"/>
      </w:rPr>
      <w:t xml:space="preserve">Page </w:t>
    </w:r>
    <w:r w:rsidRPr="00627B72">
      <w:rPr>
        <w:rStyle w:val="Numerstrony"/>
        <w:rFonts w:ascii="Arial" w:hAnsi="Arial" w:cs="Arial"/>
        <w:noProof/>
        <w:sz w:val="16"/>
        <w:szCs w:val="16"/>
      </w:rPr>
      <w:t xml:space="preserve"> </w:t>
    </w:r>
    <w:r w:rsidRPr="00627B72">
      <w:rPr>
        <w:rStyle w:val="Numerstrony"/>
        <w:rFonts w:ascii="Arial" w:hAnsi="Arial" w:cs="Arial"/>
        <w:noProof/>
        <w:sz w:val="16"/>
        <w:szCs w:val="16"/>
      </w:rPr>
      <w:fldChar w:fldCharType="begin"/>
    </w:r>
    <w:r w:rsidRPr="00627B72">
      <w:rPr>
        <w:rStyle w:val="Numerstrony"/>
        <w:rFonts w:ascii="Arial" w:hAnsi="Arial" w:cs="Arial"/>
        <w:noProof/>
        <w:sz w:val="16"/>
        <w:szCs w:val="16"/>
      </w:rPr>
      <w:instrText xml:space="preserve"> PAGE  \* Arabic </w:instrText>
    </w:r>
    <w:r w:rsidRPr="00627B72">
      <w:rPr>
        <w:rStyle w:val="Numerstrony"/>
        <w:rFonts w:ascii="Arial" w:hAnsi="Arial" w:cs="Arial"/>
        <w:noProof/>
        <w:sz w:val="16"/>
        <w:szCs w:val="16"/>
      </w:rPr>
      <w:fldChar w:fldCharType="separate"/>
    </w:r>
    <w:r>
      <w:rPr>
        <w:rStyle w:val="Numerstrony"/>
        <w:rFonts w:ascii="Arial" w:hAnsi="Arial" w:cs="Arial"/>
        <w:noProof/>
        <w:sz w:val="16"/>
        <w:szCs w:val="16"/>
      </w:rPr>
      <w:t>2</w:t>
    </w:r>
    <w:r w:rsidRPr="00627B72">
      <w:rPr>
        <w:rStyle w:val="Numerstrony"/>
        <w:rFonts w:ascii="Arial" w:hAnsi="Arial" w:cs="Arial"/>
        <w:noProof/>
        <w:sz w:val="16"/>
        <w:szCs w:val="16"/>
      </w:rPr>
      <w:fldChar w:fldCharType="end"/>
    </w:r>
    <w:r w:rsidRPr="00627B72">
      <w:rPr>
        <w:rStyle w:val="Numerstrony"/>
        <w:rFonts w:ascii="Arial" w:hAnsi="Arial" w:cs="Arial"/>
        <w:noProof/>
        <w:sz w:val="16"/>
        <w:szCs w:val="16"/>
      </w:rPr>
      <w:t xml:space="preserve"> /</w:t>
    </w:r>
    <w:r w:rsidRPr="00627B72">
      <w:rPr>
        <w:rStyle w:val="Numerstrony"/>
        <w:rFonts w:ascii="Arial" w:hAnsi="Arial" w:cs="Arial"/>
        <w:sz w:val="16"/>
        <w:szCs w:val="16"/>
      </w:rPr>
      <w:fldChar w:fldCharType="begin"/>
    </w:r>
    <w:r w:rsidRPr="00627B72">
      <w:rPr>
        <w:rStyle w:val="Numerstrony"/>
        <w:rFonts w:ascii="Arial" w:hAnsi="Arial" w:cs="Arial"/>
        <w:sz w:val="16"/>
        <w:szCs w:val="16"/>
      </w:rPr>
      <w:instrText xml:space="preserve"> NUMPAGES </w:instrText>
    </w:r>
    <w:r w:rsidRPr="00627B72">
      <w:rPr>
        <w:rStyle w:val="Numerstrony"/>
        <w:rFonts w:ascii="Arial" w:hAnsi="Arial" w:cs="Arial"/>
        <w:sz w:val="16"/>
        <w:szCs w:val="16"/>
      </w:rPr>
      <w:fldChar w:fldCharType="separate"/>
    </w:r>
    <w:r>
      <w:rPr>
        <w:rStyle w:val="Numerstrony"/>
        <w:rFonts w:ascii="Arial" w:hAnsi="Arial" w:cs="Arial"/>
        <w:noProof/>
        <w:sz w:val="16"/>
        <w:szCs w:val="16"/>
      </w:rPr>
      <w:t>31</w:t>
    </w:r>
    <w:r w:rsidRPr="00627B72">
      <w:rPr>
        <w:rStyle w:val="Numerstrony"/>
        <w:rFonts w:ascii="Arial" w:hAnsi="Arial" w:cs="Arial"/>
        <w:sz w:val="16"/>
        <w:szCs w:val="16"/>
      </w:rPr>
      <w:fldChar w:fldCharType="end"/>
    </w:r>
    <w:r w:rsidRPr="00627B72">
      <w:rPr>
        <w:rStyle w:val="Numerstrony"/>
        <w:rFonts w:ascii="Arial" w:hAnsi="Arial" w:cs="Arial"/>
        <w:sz w:val="16"/>
        <w:szCs w:val="16"/>
      </w:rPr>
      <w:br/>
    </w:r>
    <w:r w:rsidRPr="00627B72">
      <w:rPr>
        <w:rFonts w:ascii="Arial" w:hAnsi="Arial" w:cs="Arial"/>
        <w:sz w:val="16"/>
        <w:szCs w:val="16"/>
      </w:rPr>
      <w:t>Template for chemical PPP</w:t>
    </w:r>
    <w:r w:rsidRPr="00627B72">
      <w:rPr>
        <w:rFonts w:ascii="Arial" w:hAnsi="Arial" w:cs="Arial"/>
        <w:sz w:val="16"/>
        <w:szCs w:val="16"/>
      </w:rPr>
      <w:br/>
      <w:t>Version April 2015</w:t>
    </w:r>
  </w:p>
  <w:p w14:paraId="382C294B" w14:textId="77777777" w:rsidR="00296320" w:rsidRPr="00627B72" w:rsidRDefault="00296320" w:rsidP="00627B72">
    <w:pPr>
      <w:widowControl w:val="0"/>
      <w:pBdr>
        <w:bottom w:val="single" w:sz="4" w:space="1" w:color="auto"/>
      </w:pBdr>
      <w:rPr>
        <w:rFonts w:ascii="Arial" w:hAnsi="Arial" w:cs="Arial"/>
        <w:sz w:val="16"/>
        <w:szCs w:val="16"/>
        <w:lang w:val="en-GB"/>
      </w:rPr>
    </w:pPr>
    <w:r>
      <w:rPr>
        <w:rFonts w:ascii="Arial" w:hAnsi="Arial" w:cs="Arial"/>
        <w:sz w:val="16"/>
        <w:szCs w:val="16"/>
      </w:rPr>
      <w:t>BAS 743 03 F</w:t>
    </w:r>
    <w:r w:rsidRPr="00627B72">
      <w:rPr>
        <w:rFonts w:ascii="Arial" w:hAnsi="Arial" w:cs="Arial"/>
        <w:sz w:val="16"/>
        <w:szCs w:val="16"/>
        <w:lang w:val="en-GB"/>
      </w:rPr>
      <w:t xml:space="preserve"> / </w:t>
    </w:r>
    <w:r w:rsidRPr="00627B72">
      <w:rPr>
        <w:rFonts w:ascii="Arial" w:hAnsi="Arial" w:cs="Arial"/>
        <w:sz w:val="16"/>
        <w:szCs w:val="16"/>
        <w:highlight w:val="yellow"/>
        <w:lang w:val="en-GB"/>
      </w:rPr>
      <w:t>Product name</w:t>
    </w:r>
  </w:p>
  <w:p w14:paraId="1138FA37" w14:textId="77777777" w:rsidR="00296320" w:rsidRPr="00627B72" w:rsidRDefault="00296320" w:rsidP="00473FB0">
    <w:pPr>
      <w:pStyle w:val="RepPageHeader"/>
      <w:pBdr>
        <w:bottom w:val="single" w:sz="4" w:space="1" w:color="auto"/>
      </w:pBdr>
      <w:rPr>
        <w:rFonts w:ascii="Arial" w:hAnsi="Arial" w:cs="Arial"/>
        <w:sz w:val="16"/>
        <w:szCs w:val="16"/>
      </w:rPr>
    </w:pPr>
    <w:r w:rsidRPr="00627B72">
      <w:rPr>
        <w:rFonts w:ascii="Arial" w:hAnsi="Arial" w:cs="Arial"/>
        <w:sz w:val="16"/>
        <w:szCs w:val="16"/>
      </w:rPr>
      <w:t>Part B – Section 10 - Core Assessment / National Addendum</w:t>
    </w:r>
  </w:p>
  <w:p w14:paraId="51E3CCE5" w14:textId="77777777" w:rsidR="00296320" w:rsidRPr="00627B72" w:rsidRDefault="00296320" w:rsidP="007C4BEE">
    <w:pPr>
      <w:pStyle w:val="RepPageHeader"/>
      <w:pBdr>
        <w:bottom w:val="single" w:sz="4" w:space="1" w:color="auto"/>
      </w:pBdr>
      <w:rPr>
        <w:rFonts w:ascii="Arial" w:hAnsi="Arial" w:cs="Arial"/>
        <w:sz w:val="16"/>
        <w:szCs w:val="16"/>
      </w:rPr>
    </w:pPr>
    <w:r w:rsidRPr="00627B72">
      <w:rPr>
        <w:rFonts w:ascii="Arial" w:hAnsi="Arial" w:cs="Arial"/>
        <w:sz w:val="16"/>
        <w:szCs w:val="16"/>
      </w:rPr>
      <w:t xml:space="preserve">Applicant/ </w:t>
    </w:r>
    <w:proofErr w:type="spellStart"/>
    <w:r w:rsidRPr="00627B72">
      <w:rPr>
        <w:rFonts w:ascii="Arial" w:hAnsi="Arial" w:cs="Arial"/>
        <w:sz w:val="16"/>
        <w:szCs w:val="16"/>
      </w:rPr>
      <w:t>zRMS</w:t>
    </w:r>
    <w:proofErr w:type="spellEnd"/>
    <w:r w:rsidRPr="00627B72">
      <w:rPr>
        <w:rFonts w:ascii="Arial" w:hAnsi="Arial" w:cs="Arial"/>
        <w:sz w:val="16"/>
        <w:szCs w:val="16"/>
      </w:rPr>
      <w:t xml:space="preserve"> version</w:t>
    </w:r>
  </w:p>
  <w:p w14:paraId="2B3860E2" w14:textId="77777777" w:rsidR="00296320" w:rsidRPr="008D2FEC" w:rsidRDefault="00296320"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296320" w:rsidRPr="0062481A" w14:paraId="40C4BBE0" w14:textId="77777777" w:rsidTr="009B666E">
      <w:tc>
        <w:tcPr>
          <w:tcW w:w="2500" w:type="pct"/>
          <w:tcMar>
            <w:left w:w="0" w:type="dxa"/>
            <w:right w:w="0" w:type="dxa"/>
          </w:tcMar>
        </w:tcPr>
        <w:p w14:paraId="743D423D" w14:textId="0DBB2197" w:rsidR="00296320" w:rsidRPr="00E07B40" w:rsidRDefault="00296320" w:rsidP="00ED64DC">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6D231AC3" w14:textId="34FD19C0" w:rsidR="00296320" w:rsidRDefault="00296320" w:rsidP="00ED64DC">
          <w:pPr>
            <w:pStyle w:val="RepPageHeader"/>
            <w:pBdr>
              <w:bottom w:val="single" w:sz="4" w:space="1" w:color="auto"/>
            </w:pBdr>
            <w:rPr>
              <w:rFonts w:ascii="Arial" w:hAnsi="Arial" w:cs="Arial"/>
              <w:sz w:val="16"/>
              <w:szCs w:val="16"/>
            </w:rPr>
          </w:pPr>
          <w:r w:rsidRPr="00627B72">
            <w:rPr>
              <w:rFonts w:ascii="Arial" w:hAnsi="Arial" w:cs="Arial"/>
              <w:sz w:val="16"/>
              <w:szCs w:val="16"/>
            </w:rPr>
            <w:t>Part B – Section 10 - Core Assessment</w:t>
          </w:r>
        </w:p>
        <w:p w14:paraId="76C6ADBD" w14:textId="554C82DD" w:rsidR="00296320" w:rsidRPr="0062481A" w:rsidRDefault="00006F16" w:rsidP="00ED64DC">
          <w:pPr>
            <w:pStyle w:val="RepPageHeader"/>
            <w:pBdr>
              <w:bottom w:val="single" w:sz="4" w:space="1" w:color="auto"/>
            </w:pBdr>
            <w:rPr>
              <w:rFonts w:ascii="Arial" w:hAnsi="Arial" w:cs="Arial"/>
              <w:sz w:val="16"/>
              <w:szCs w:val="16"/>
            </w:rPr>
          </w:pPr>
          <w:r w:rsidRPr="00006F16">
            <w:rPr>
              <w:rFonts w:ascii="Arial" w:hAnsi="Arial" w:cs="Arial"/>
              <w:sz w:val="16"/>
              <w:szCs w:val="16"/>
            </w:rPr>
            <w:t>V</w:t>
          </w:r>
          <w:r w:rsidR="00296320" w:rsidRPr="00006F16">
            <w:rPr>
              <w:rFonts w:ascii="Arial" w:hAnsi="Arial" w:cs="Arial"/>
              <w:sz w:val="16"/>
              <w:szCs w:val="16"/>
            </w:rPr>
            <w:t xml:space="preserve">ersion </w:t>
          </w:r>
          <w:r w:rsidR="00332197">
            <w:rPr>
              <w:rFonts w:ascii="Arial" w:hAnsi="Arial" w:cs="Arial"/>
              <w:sz w:val="16"/>
              <w:szCs w:val="16"/>
            </w:rPr>
            <w:t>Novem</w:t>
          </w:r>
          <w:r w:rsidR="00296320" w:rsidRPr="00006F16">
            <w:rPr>
              <w:rFonts w:ascii="Arial" w:hAnsi="Arial" w:cs="Arial"/>
              <w:sz w:val="16"/>
              <w:szCs w:val="16"/>
            </w:rPr>
            <w:t>ber 2024</w:t>
          </w:r>
        </w:p>
      </w:tc>
      <w:tc>
        <w:tcPr>
          <w:tcW w:w="2500" w:type="pct"/>
          <w:tcMar>
            <w:left w:w="0" w:type="dxa"/>
            <w:right w:w="0" w:type="dxa"/>
          </w:tcMar>
        </w:tcPr>
        <w:p w14:paraId="3F041216" w14:textId="77777777" w:rsidR="00296320" w:rsidRPr="0062481A" w:rsidRDefault="00296320" w:rsidP="000119DA">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45E50">
            <w:rPr>
              <w:rStyle w:val="Numerstrony"/>
              <w:rFonts w:ascii="Arial" w:hAnsi="Arial" w:cs="Arial"/>
              <w:noProof/>
              <w:sz w:val="16"/>
              <w:szCs w:val="16"/>
            </w:rPr>
            <w:t>9</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45E50">
            <w:rPr>
              <w:rStyle w:val="Numerstrony"/>
              <w:rFonts w:ascii="Arial" w:hAnsi="Arial" w:cs="Arial"/>
              <w:noProof/>
              <w:sz w:val="16"/>
              <w:szCs w:val="16"/>
            </w:rPr>
            <w:t>14</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A36BB86" w14:textId="77777777" w:rsidR="00296320" w:rsidRPr="0062481A" w:rsidRDefault="00296320" w:rsidP="00ED64DC">
          <w:pPr>
            <w:pStyle w:val="RepPageHeader"/>
            <w:pBdr>
              <w:bottom w:val="single" w:sz="4" w:space="1" w:color="auto"/>
            </w:pBdr>
            <w:jc w:val="right"/>
            <w:rPr>
              <w:rFonts w:ascii="Arial" w:hAnsi="Arial" w:cs="Arial"/>
              <w:sz w:val="16"/>
              <w:szCs w:val="16"/>
            </w:rPr>
          </w:pPr>
        </w:p>
      </w:tc>
    </w:tr>
  </w:tbl>
  <w:p w14:paraId="5668630E" w14:textId="77777777" w:rsidR="00296320" w:rsidRPr="008D2FEC" w:rsidRDefault="00296320"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400" w:type="dxa"/>
      <w:tblLook w:val="0000" w:firstRow="0" w:lastRow="0" w:firstColumn="0" w:lastColumn="0" w:noHBand="0" w:noVBand="0"/>
    </w:tblPr>
    <w:tblGrid>
      <w:gridCol w:w="7200"/>
      <w:gridCol w:w="7200"/>
    </w:tblGrid>
    <w:tr w:rsidR="00296320" w:rsidRPr="0062481A" w14:paraId="49B5E9B3" w14:textId="77777777" w:rsidTr="00400AE4">
      <w:tc>
        <w:tcPr>
          <w:tcW w:w="2500" w:type="pct"/>
          <w:tcMar>
            <w:left w:w="0" w:type="dxa"/>
            <w:right w:w="0" w:type="dxa"/>
          </w:tcMar>
        </w:tcPr>
        <w:p w14:paraId="77ED99F0" w14:textId="77777777" w:rsidR="00296320" w:rsidRPr="00E07B40" w:rsidRDefault="00296320" w:rsidP="00ED64DC">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713774B6" w14:textId="366AD1D0" w:rsidR="00296320" w:rsidRDefault="00296320" w:rsidP="00ED64DC">
          <w:pPr>
            <w:pStyle w:val="RepPageHeader"/>
            <w:pBdr>
              <w:bottom w:val="single" w:sz="4" w:space="1" w:color="auto"/>
            </w:pBdr>
            <w:rPr>
              <w:rFonts w:ascii="Arial" w:hAnsi="Arial" w:cs="Arial"/>
              <w:sz w:val="16"/>
              <w:szCs w:val="16"/>
            </w:rPr>
          </w:pPr>
          <w:r w:rsidRPr="00627B72">
            <w:rPr>
              <w:rFonts w:ascii="Arial" w:hAnsi="Arial" w:cs="Arial"/>
              <w:sz w:val="16"/>
              <w:szCs w:val="16"/>
            </w:rPr>
            <w:t>Part B – Section 10 - Core Assessment</w:t>
          </w:r>
        </w:p>
        <w:p w14:paraId="778552F0" w14:textId="1B772FAF" w:rsidR="00296320" w:rsidRPr="0062481A" w:rsidRDefault="00006F16" w:rsidP="00ED64DC">
          <w:pPr>
            <w:pStyle w:val="RepPageHeader"/>
            <w:pBdr>
              <w:bottom w:val="single" w:sz="4" w:space="1" w:color="auto"/>
            </w:pBdr>
            <w:rPr>
              <w:rFonts w:ascii="Arial" w:hAnsi="Arial" w:cs="Arial"/>
              <w:sz w:val="16"/>
              <w:szCs w:val="16"/>
            </w:rPr>
          </w:pPr>
          <w:r w:rsidRPr="00006F16">
            <w:rPr>
              <w:rFonts w:ascii="Arial" w:hAnsi="Arial" w:cs="Arial"/>
              <w:sz w:val="16"/>
              <w:szCs w:val="16"/>
            </w:rPr>
            <w:t xml:space="preserve">Version </w:t>
          </w:r>
          <w:r w:rsidR="00332197">
            <w:rPr>
              <w:rFonts w:ascii="Arial" w:hAnsi="Arial" w:cs="Arial"/>
              <w:sz w:val="16"/>
              <w:szCs w:val="16"/>
            </w:rPr>
            <w:t>Novem</w:t>
          </w:r>
          <w:r w:rsidRPr="00006F16">
            <w:rPr>
              <w:rFonts w:ascii="Arial" w:hAnsi="Arial" w:cs="Arial"/>
              <w:sz w:val="16"/>
              <w:szCs w:val="16"/>
            </w:rPr>
            <w:t>ber 2024</w:t>
          </w:r>
        </w:p>
      </w:tc>
      <w:tc>
        <w:tcPr>
          <w:tcW w:w="2500" w:type="pct"/>
          <w:tcMar>
            <w:left w:w="0" w:type="dxa"/>
            <w:right w:w="0" w:type="dxa"/>
          </w:tcMar>
        </w:tcPr>
        <w:p w14:paraId="50CBC5E3" w14:textId="77777777" w:rsidR="00296320" w:rsidRPr="0062481A" w:rsidRDefault="00296320" w:rsidP="000119DA">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45E50">
            <w:rPr>
              <w:rStyle w:val="Numerstrony"/>
              <w:rFonts w:ascii="Arial" w:hAnsi="Arial" w:cs="Arial"/>
              <w:noProof/>
              <w:sz w:val="16"/>
              <w:szCs w:val="16"/>
            </w:rPr>
            <w:t>13</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45E50">
            <w:rPr>
              <w:rStyle w:val="Numerstrony"/>
              <w:rFonts w:ascii="Arial" w:hAnsi="Arial" w:cs="Arial"/>
              <w:noProof/>
              <w:sz w:val="16"/>
              <w:szCs w:val="16"/>
            </w:rPr>
            <w:t>14</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4736351" w14:textId="77777777" w:rsidR="00296320" w:rsidRPr="0062481A" w:rsidRDefault="00296320" w:rsidP="00ED64DC">
          <w:pPr>
            <w:pStyle w:val="RepPageHeader"/>
            <w:pBdr>
              <w:bottom w:val="single" w:sz="4" w:space="1" w:color="auto"/>
            </w:pBdr>
            <w:jc w:val="right"/>
            <w:rPr>
              <w:rFonts w:ascii="Arial" w:hAnsi="Arial" w:cs="Arial"/>
              <w:sz w:val="16"/>
              <w:szCs w:val="16"/>
            </w:rPr>
          </w:pPr>
        </w:p>
      </w:tc>
    </w:tr>
  </w:tbl>
  <w:p w14:paraId="62D3589C" w14:textId="77777777" w:rsidR="00296320" w:rsidRPr="008D2FEC" w:rsidRDefault="00296320"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63126" w14:textId="77777777" w:rsidR="00296320" w:rsidRDefault="0029632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9"/>
      <w:gridCol w:w="4679"/>
    </w:tblGrid>
    <w:tr w:rsidR="00296320" w:rsidRPr="0062481A" w14:paraId="6E0AE483" w14:textId="77777777" w:rsidTr="009B666E">
      <w:tc>
        <w:tcPr>
          <w:tcW w:w="2500" w:type="pct"/>
          <w:tcMar>
            <w:left w:w="0" w:type="dxa"/>
            <w:right w:w="0" w:type="dxa"/>
          </w:tcMar>
        </w:tcPr>
        <w:p w14:paraId="3ADB0F92" w14:textId="6590E388" w:rsidR="00296320" w:rsidRPr="00E07B40" w:rsidRDefault="00296320" w:rsidP="000119DA">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00F1147B" w14:textId="0C4577B0" w:rsidR="00296320" w:rsidRDefault="00296320" w:rsidP="000119DA">
          <w:pPr>
            <w:pStyle w:val="RepPageHeader"/>
            <w:pBdr>
              <w:bottom w:val="single" w:sz="4" w:space="1" w:color="auto"/>
            </w:pBdr>
            <w:rPr>
              <w:rFonts w:ascii="Arial" w:hAnsi="Arial" w:cs="Arial"/>
              <w:sz w:val="16"/>
              <w:szCs w:val="16"/>
            </w:rPr>
          </w:pPr>
          <w:r w:rsidRPr="00627B72">
            <w:rPr>
              <w:rFonts w:ascii="Arial" w:hAnsi="Arial" w:cs="Arial"/>
              <w:sz w:val="16"/>
              <w:szCs w:val="16"/>
            </w:rPr>
            <w:t>Part B – Section 10 - Core Assessment</w:t>
          </w:r>
        </w:p>
        <w:p w14:paraId="3BAB6E41" w14:textId="1EE1D2A3" w:rsidR="00296320" w:rsidRPr="0062481A" w:rsidRDefault="00006F16" w:rsidP="000119DA">
          <w:pPr>
            <w:pStyle w:val="RepPageHeader"/>
            <w:pBdr>
              <w:bottom w:val="single" w:sz="4" w:space="1" w:color="auto"/>
            </w:pBdr>
            <w:rPr>
              <w:rFonts w:ascii="Arial" w:hAnsi="Arial" w:cs="Arial"/>
              <w:sz w:val="16"/>
              <w:szCs w:val="16"/>
            </w:rPr>
          </w:pPr>
          <w:r w:rsidRPr="00006F16">
            <w:rPr>
              <w:rFonts w:ascii="Arial" w:hAnsi="Arial" w:cs="Arial"/>
              <w:sz w:val="16"/>
              <w:szCs w:val="16"/>
            </w:rPr>
            <w:t xml:space="preserve">Version </w:t>
          </w:r>
          <w:r w:rsidR="00332197">
            <w:rPr>
              <w:rFonts w:ascii="Arial" w:hAnsi="Arial" w:cs="Arial"/>
              <w:sz w:val="16"/>
              <w:szCs w:val="16"/>
            </w:rPr>
            <w:t>Novem</w:t>
          </w:r>
          <w:r w:rsidRPr="00006F16">
            <w:rPr>
              <w:rFonts w:ascii="Arial" w:hAnsi="Arial" w:cs="Arial"/>
              <w:sz w:val="16"/>
              <w:szCs w:val="16"/>
            </w:rPr>
            <w:t>ber 2024</w:t>
          </w:r>
        </w:p>
      </w:tc>
      <w:tc>
        <w:tcPr>
          <w:tcW w:w="2500" w:type="pct"/>
          <w:tcMar>
            <w:left w:w="0" w:type="dxa"/>
            <w:right w:w="0" w:type="dxa"/>
          </w:tcMar>
        </w:tcPr>
        <w:p w14:paraId="3AB1769A" w14:textId="77777777" w:rsidR="00296320" w:rsidRPr="0062481A" w:rsidRDefault="00296320" w:rsidP="000119DA">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C45E50">
            <w:rPr>
              <w:rStyle w:val="Numerstrony"/>
              <w:rFonts w:ascii="Arial" w:hAnsi="Arial" w:cs="Arial"/>
              <w:noProof/>
              <w:sz w:val="16"/>
              <w:szCs w:val="16"/>
            </w:rPr>
            <w:t>14</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C45E50">
            <w:rPr>
              <w:rStyle w:val="Numerstrony"/>
              <w:rFonts w:ascii="Arial" w:hAnsi="Arial" w:cs="Arial"/>
              <w:noProof/>
              <w:sz w:val="16"/>
              <w:szCs w:val="16"/>
            </w:rPr>
            <w:t>14</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51FBFB9" w14:textId="77777777" w:rsidR="00296320" w:rsidRPr="0062481A" w:rsidRDefault="00296320" w:rsidP="000119DA">
          <w:pPr>
            <w:pStyle w:val="RepPageHeader"/>
            <w:pBdr>
              <w:bottom w:val="single" w:sz="4" w:space="1" w:color="auto"/>
            </w:pBdr>
            <w:jc w:val="right"/>
            <w:rPr>
              <w:rFonts w:ascii="Arial" w:hAnsi="Arial" w:cs="Arial"/>
              <w:sz w:val="16"/>
              <w:szCs w:val="16"/>
            </w:rPr>
          </w:pPr>
        </w:p>
      </w:tc>
    </w:tr>
  </w:tbl>
  <w:p w14:paraId="32ED5A4B" w14:textId="77777777" w:rsidR="00296320" w:rsidRPr="008D2FEC" w:rsidRDefault="00296320"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16601" w14:textId="77777777" w:rsidR="00296320" w:rsidRDefault="002963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D40A24F0"/>
    <w:lvl w:ilvl="0">
      <w:start w:val="1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9E66DA"/>
    <w:multiLevelType w:val="multilevel"/>
    <w:tmpl w:val="B860CAF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A9930F3"/>
    <w:multiLevelType w:val="multilevel"/>
    <w:tmpl w:val="4FE467E2"/>
    <w:name w:val="dRRAppendix33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E6A6F85"/>
    <w:multiLevelType w:val="multilevel"/>
    <w:tmpl w:val="7B120352"/>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AF4AFD"/>
    <w:multiLevelType w:val="hybridMultilevel"/>
    <w:tmpl w:val="41A24EEC"/>
    <w:lvl w:ilvl="0" w:tplc="E4C03142">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CC4F0C"/>
    <w:multiLevelType w:val="multilevel"/>
    <w:tmpl w:val="9FD8A3D8"/>
    <w:lvl w:ilvl="0">
      <w:start w:val="8"/>
      <w:numFmt w:val="decimal"/>
      <w:lvlRestart w:val="0"/>
      <w:lvlText w:val="%1"/>
      <w:lvlJc w:val="left"/>
      <w:pPr>
        <w:tabs>
          <w:tab w:val="num" w:pos="1440"/>
        </w:tabs>
        <w:ind w:left="1440" w:hanging="1440"/>
      </w:pPr>
      <w:rPr>
        <w:rFonts w:cs="Times New Roman" w:hint="default"/>
      </w:rPr>
    </w:lvl>
    <w:lvl w:ilvl="1">
      <w:start w:val="1"/>
      <w:numFmt w:val="decimal"/>
      <w:lvlText w:val="IIIA %1.%2"/>
      <w:lvlJc w:val="left"/>
      <w:pPr>
        <w:tabs>
          <w:tab w:val="num" w:pos="1440"/>
        </w:tabs>
        <w:ind w:left="1440" w:hanging="1440"/>
      </w:pPr>
      <w:rPr>
        <w:rFonts w:cs="Times New Roman" w:hint="default"/>
      </w:rPr>
    </w:lvl>
    <w:lvl w:ilvl="2">
      <w:start w:val="1"/>
      <w:numFmt w:val="decimal"/>
      <w:lvlText w:val="IIIA %1.%2.%3"/>
      <w:lvlJc w:val="left"/>
      <w:pPr>
        <w:tabs>
          <w:tab w:val="num" w:pos="1440"/>
        </w:tabs>
        <w:ind w:left="1440" w:hanging="1440"/>
      </w:pPr>
      <w:rPr>
        <w:rFonts w:cs="Times New Roman" w:hint="default"/>
      </w:rPr>
    </w:lvl>
    <w:lvl w:ilvl="3">
      <w:start w:val="1"/>
      <w:numFmt w:val="decimal"/>
      <w:lvlText w:val="IIIA %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2BB73DAF"/>
    <w:multiLevelType w:val="hybridMultilevel"/>
    <w:tmpl w:val="80B4223E"/>
    <w:lvl w:ilvl="0" w:tplc="04070001">
      <w:start w:val="10"/>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CF0102"/>
    <w:multiLevelType w:val="multilevel"/>
    <w:tmpl w:val="B3CA0272"/>
    <w:lvl w:ilvl="0">
      <w:start w:val="10"/>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BE7488"/>
    <w:multiLevelType w:val="multilevel"/>
    <w:tmpl w:val="10F87FF8"/>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CA564BA"/>
    <w:multiLevelType w:val="hybridMultilevel"/>
    <w:tmpl w:val="E88CD04E"/>
    <w:lvl w:ilvl="0" w:tplc="04070005">
      <w:start w:val="1"/>
      <w:numFmt w:val="bullet"/>
      <w:lvlText w:val=""/>
      <w:lvlJc w:val="left"/>
      <w:pPr>
        <w:tabs>
          <w:tab w:val="num" w:pos="1068"/>
        </w:tabs>
        <w:ind w:left="1068" w:hanging="360"/>
      </w:pPr>
      <w:rPr>
        <w:rFonts w:ascii="Wingdings" w:hAnsi="Wingdings" w:hint="default"/>
      </w:rPr>
    </w:lvl>
    <w:lvl w:ilvl="1" w:tplc="04070003" w:tentative="1">
      <w:start w:val="1"/>
      <w:numFmt w:val="bullet"/>
      <w:lvlText w:val="o"/>
      <w:lvlJc w:val="left"/>
      <w:pPr>
        <w:tabs>
          <w:tab w:val="num" w:pos="528"/>
        </w:tabs>
        <w:ind w:left="528" w:hanging="360"/>
      </w:pPr>
      <w:rPr>
        <w:rFonts w:ascii="Courier New" w:hAnsi="Courier New" w:hint="default"/>
      </w:rPr>
    </w:lvl>
    <w:lvl w:ilvl="2" w:tplc="04070005" w:tentative="1">
      <w:start w:val="1"/>
      <w:numFmt w:val="bullet"/>
      <w:lvlText w:val=""/>
      <w:lvlJc w:val="left"/>
      <w:pPr>
        <w:tabs>
          <w:tab w:val="num" w:pos="1248"/>
        </w:tabs>
        <w:ind w:left="1248" w:hanging="360"/>
      </w:pPr>
      <w:rPr>
        <w:rFonts w:ascii="Wingdings" w:hAnsi="Wingdings" w:hint="default"/>
      </w:rPr>
    </w:lvl>
    <w:lvl w:ilvl="3" w:tplc="04070001" w:tentative="1">
      <w:start w:val="1"/>
      <w:numFmt w:val="bullet"/>
      <w:lvlText w:val=""/>
      <w:lvlJc w:val="left"/>
      <w:pPr>
        <w:tabs>
          <w:tab w:val="num" w:pos="1968"/>
        </w:tabs>
        <w:ind w:left="1968" w:hanging="360"/>
      </w:pPr>
      <w:rPr>
        <w:rFonts w:ascii="Symbol" w:hAnsi="Symbol" w:hint="default"/>
      </w:rPr>
    </w:lvl>
    <w:lvl w:ilvl="4" w:tplc="04070003" w:tentative="1">
      <w:start w:val="1"/>
      <w:numFmt w:val="bullet"/>
      <w:lvlText w:val="o"/>
      <w:lvlJc w:val="left"/>
      <w:pPr>
        <w:tabs>
          <w:tab w:val="num" w:pos="2688"/>
        </w:tabs>
        <w:ind w:left="2688" w:hanging="360"/>
      </w:pPr>
      <w:rPr>
        <w:rFonts w:ascii="Courier New" w:hAnsi="Courier New" w:hint="default"/>
      </w:rPr>
    </w:lvl>
    <w:lvl w:ilvl="5" w:tplc="04070005" w:tentative="1">
      <w:start w:val="1"/>
      <w:numFmt w:val="bullet"/>
      <w:lvlText w:val=""/>
      <w:lvlJc w:val="left"/>
      <w:pPr>
        <w:tabs>
          <w:tab w:val="num" w:pos="3408"/>
        </w:tabs>
        <w:ind w:left="3408" w:hanging="360"/>
      </w:pPr>
      <w:rPr>
        <w:rFonts w:ascii="Wingdings" w:hAnsi="Wingdings" w:hint="default"/>
      </w:rPr>
    </w:lvl>
    <w:lvl w:ilvl="6" w:tplc="04070001" w:tentative="1">
      <w:start w:val="1"/>
      <w:numFmt w:val="bullet"/>
      <w:lvlText w:val=""/>
      <w:lvlJc w:val="left"/>
      <w:pPr>
        <w:tabs>
          <w:tab w:val="num" w:pos="4128"/>
        </w:tabs>
        <w:ind w:left="4128" w:hanging="360"/>
      </w:pPr>
      <w:rPr>
        <w:rFonts w:ascii="Symbol" w:hAnsi="Symbol" w:hint="default"/>
      </w:rPr>
    </w:lvl>
    <w:lvl w:ilvl="7" w:tplc="04070003" w:tentative="1">
      <w:start w:val="1"/>
      <w:numFmt w:val="bullet"/>
      <w:lvlText w:val="o"/>
      <w:lvlJc w:val="left"/>
      <w:pPr>
        <w:tabs>
          <w:tab w:val="num" w:pos="4848"/>
        </w:tabs>
        <w:ind w:left="4848" w:hanging="360"/>
      </w:pPr>
      <w:rPr>
        <w:rFonts w:ascii="Courier New" w:hAnsi="Courier New" w:hint="default"/>
      </w:rPr>
    </w:lvl>
    <w:lvl w:ilvl="8" w:tplc="04070005" w:tentative="1">
      <w:start w:val="1"/>
      <w:numFmt w:val="bullet"/>
      <w:lvlText w:val=""/>
      <w:lvlJc w:val="left"/>
      <w:pPr>
        <w:tabs>
          <w:tab w:val="num" w:pos="5568"/>
        </w:tabs>
        <w:ind w:left="5568" w:hanging="360"/>
      </w:pPr>
      <w:rPr>
        <w:rFonts w:ascii="Wingdings" w:hAnsi="Wingdings" w:hint="default"/>
      </w:rPr>
    </w:lvl>
  </w:abstractNum>
  <w:abstractNum w:abstractNumId="25"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6" w15:restartNumberingAfterBreak="0">
    <w:nsid w:val="65843618"/>
    <w:multiLevelType w:val="multilevel"/>
    <w:tmpl w:val="D312E086"/>
    <w:lvl w:ilvl="0">
      <w:start w:val="1"/>
      <w:numFmt w:val="decimal"/>
      <w:lvlText w:val="Appendix %1."/>
      <w:lvlJc w:val="left"/>
      <w:pPr>
        <w:ind w:left="19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7" w15:restartNumberingAfterBreak="0">
    <w:nsid w:val="681130AB"/>
    <w:multiLevelType w:val="multilevel"/>
    <w:tmpl w:val="9A287C78"/>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B2A005E"/>
    <w:multiLevelType w:val="multilevel"/>
    <w:tmpl w:val="174C1738"/>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C815444"/>
    <w:multiLevelType w:val="hybridMultilevel"/>
    <w:tmpl w:val="D97CF884"/>
    <w:lvl w:ilvl="0" w:tplc="25684EE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1" w15:restartNumberingAfterBreak="0">
    <w:nsid w:val="6CD15A0E"/>
    <w:multiLevelType w:val="hybridMultilevel"/>
    <w:tmpl w:val="21DAFD8E"/>
    <w:lvl w:ilvl="0" w:tplc="708E5C06">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2" w15:restartNumberingAfterBreak="0">
    <w:nsid w:val="6EF4598F"/>
    <w:multiLevelType w:val="hybridMultilevel"/>
    <w:tmpl w:val="1E48F6EA"/>
    <w:lvl w:ilvl="0" w:tplc="04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2A31C7F"/>
    <w:multiLevelType w:val="hybridMultilevel"/>
    <w:tmpl w:val="BA5AB7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18702672">
    <w:abstractNumId w:val="3"/>
  </w:num>
  <w:num w:numId="2" w16cid:durableId="1684437547">
    <w:abstractNumId w:val="2"/>
  </w:num>
  <w:num w:numId="3" w16cid:durableId="669528358">
    <w:abstractNumId w:val="1"/>
  </w:num>
  <w:num w:numId="4" w16cid:durableId="1131751537">
    <w:abstractNumId w:val="0"/>
  </w:num>
  <w:num w:numId="5" w16cid:durableId="781609076">
    <w:abstractNumId w:val="5"/>
  </w:num>
  <w:num w:numId="6" w16cid:durableId="650909916">
    <w:abstractNumId w:val="4"/>
  </w:num>
  <w:num w:numId="7" w16cid:durableId="1945917910">
    <w:abstractNumId w:val="19"/>
  </w:num>
  <w:num w:numId="8" w16cid:durableId="971860511">
    <w:abstractNumId w:val="25"/>
  </w:num>
  <w:num w:numId="9" w16cid:durableId="1654404105">
    <w:abstractNumId w:val="10"/>
  </w:num>
  <w:num w:numId="10" w16cid:durableId="1305617922">
    <w:abstractNumId w:val="22"/>
  </w:num>
  <w:num w:numId="11" w16cid:durableId="1763837076">
    <w:abstractNumId w:val="35"/>
  </w:num>
  <w:num w:numId="12" w16cid:durableId="835732622">
    <w:abstractNumId w:val="13"/>
  </w:num>
  <w:num w:numId="13" w16cid:durableId="550384748">
    <w:abstractNumId w:val="16"/>
  </w:num>
  <w:num w:numId="14" w16cid:durableId="1395353740">
    <w:abstractNumId w:val="26"/>
  </w:num>
  <w:num w:numId="15" w16cid:durableId="1455756796">
    <w:abstractNumId w:val="18"/>
  </w:num>
  <w:num w:numId="16" w16cid:durableId="1990591740">
    <w:abstractNumId w:val="24"/>
  </w:num>
  <w:num w:numId="17" w16cid:durableId="1401293949">
    <w:abstractNumId w:val="27"/>
  </w:num>
  <w:num w:numId="18" w16cid:durableId="1642611240">
    <w:abstractNumId w:val="29"/>
  </w:num>
  <w:num w:numId="19" w16cid:durableId="1469977622">
    <w:abstractNumId w:val="8"/>
  </w:num>
  <w:num w:numId="20" w16cid:durableId="224337842">
    <w:abstractNumId w:val="17"/>
  </w:num>
  <w:num w:numId="21" w16cid:durableId="1467090506">
    <w:abstractNumId w:val="21"/>
  </w:num>
  <w:num w:numId="22" w16cid:durableId="1357001908">
    <w:abstractNumId w:val="6"/>
  </w:num>
  <w:num w:numId="23" w16cid:durableId="1635062557">
    <w:abstractNumId w:val="30"/>
  </w:num>
  <w:num w:numId="24" w16cid:durableId="1122381335">
    <w:abstractNumId w:val="31"/>
  </w:num>
  <w:num w:numId="25" w16cid:durableId="900750970">
    <w:abstractNumId w:val="14"/>
  </w:num>
  <w:num w:numId="26" w16cid:durableId="1351876991">
    <w:abstractNumId w:val="34"/>
  </w:num>
  <w:num w:numId="27" w16cid:durableId="310254213">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0" w:nlCheck="1" w:checkStyle="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3496"/>
    <w:rsid w:val="00004A86"/>
    <w:rsid w:val="00006F16"/>
    <w:rsid w:val="000119DA"/>
    <w:rsid w:val="0001403A"/>
    <w:rsid w:val="00025B66"/>
    <w:rsid w:val="00026CF9"/>
    <w:rsid w:val="0003152E"/>
    <w:rsid w:val="00034E90"/>
    <w:rsid w:val="000411E1"/>
    <w:rsid w:val="00043E31"/>
    <w:rsid w:val="00046581"/>
    <w:rsid w:val="00055F26"/>
    <w:rsid w:val="00064F95"/>
    <w:rsid w:val="00066E4A"/>
    <w:rsid w:val="00076206"/>
    <w:rsid w:val="00076C6D"/>
    <w:rsid w:val="00093F35"/>
    <w:rsid w:val="000955B0"/>
    <w:rsid w:val="000A4BC8"/>
    <w:rsid w:val="000A755C"/>
    <w:rsid w:val="000C6C56"/>
    <w:rsid w:val="000F12AD"/>
    <w:rsid w:val="000F4CAA"/>
    <w:rsid w:val="00102415"/>
    <w:rsid w:val="00107278"/>
    <w:rsid w:val="0012195F"/>
    <w:rsid w:val="0013154F"/>
    <w:rsid w:val="00150A3C"/>
    <w:rsid w:val="001534CD"/>
    <w:rsid w:val="0015466B"/>
    <w:rsid w:val="00157322"/>
    <w:rsid w:val="00157CDD"/>
    <w:rsid w:val="001617AC"/>
    <w:rsid w:val="00161C7D"/>
    <w:rsid w:val="001667FF"/>
    <w:rsid w:val="00166BAB"/>
    <w:rsid w:val="0017375B"/>
    <w:rsid w:val="0017637E"/>
    <w:rsid w:val="00181DDD"/>
    <w:rsid w:val="00183D6E"/>
    <w:rsid w:val="001A37BD"/>
    <w:rsid w:val="001A5A99"/>
    <w:rsid w:val="001A7062"/>
    <w:rsid w:val="001B2013"/>
    <w:rsid w:val="001C5619"/>
    <w:rsid w:val="001D1027"/>
    <w:rsid w:val="001D18EB"/>
    <w:rsid w:val="001F0C59"/>
    <w:rsid w:val="0020302E"/>
    <w:rsid w:val="002052CF"/>
    <w:rsid w:val="00205B16"/>
    <w:rsid w:val="00206DCC"/>
    <w:rsid w:val="00210BC5"/>
    <w:rsid w:val="00215039"/>
    <w:rsid w:val="00215517"/>
    <w:rsid w:val="002165B4"/>
    <w:rsid w:val="00225701"/>
    <w:rsid w:val="002358A0"/>
    <w:rsid w:val="002436A6"/>
    <w:rsid w:val="002442E5"/>
    <w:rsid w:val="00245BC5"/>
    <w:rsid w:val="00250D7B"/>
    <w:rsid w:val="00254546"/>
    <w:rsid w:val="0025579A"/>
    <w:rsid w:val="00263264"/>
    <w:rsid w:val="00266707"/>
    <w:rsid w:val="00266FA8"/>
    <w:rsid w:val="00273DD8"/>
    <w:rsid w:val="0027536C"/>
    <w:rsid w:val="00281A8A"/>
    <w:rsid w:val="0029395C"/>
    <w:rsid w:val="00293A10"/>
    <w:rsid w:val="00296320"/>
    <w:rsid w:val="002A27BF"/>
    <w:rsid w:val="002A795A"/>
    <w:rsid w:val="002C3679"/>
    <w:rsid w:val="002C6E13"/>
    <w:rsid w:val="002D3619"/>
    <w:rsid w:val="002D65D7"/>
    <w:rsid w:val="002E56F6"/>
    <w:rsid w:val="002E58FB"/>
    <w:rsid w:val="002F44CD"/>
    <w:rsid w:val="00301884"/>
    <w:rsid w:val="0030205B"/>
    <w:rsid w:val="00315FDA"/>
    <w:rsid w:val="003204E0"/>
    <w:rsid w:val="00320EAE"/>
    <w:rsid w:val="00321FA3"/>
    <w:rsid w:val="00324AB8"/>
    <w:rsid w:val="003250B4"/>
    <w:rsid w:val="003264F9"/>
    <w:rsid w:val="00332197"/>
    <w:rsid w:val="003414EA"/>
    <w:rsid w:val="00346B4D"/>
    <w:rsid w:val="00353735"/>
    <w:rsid w:val="00355895"/>
    <w:rsid w:val="003626E9"/>
    <w:rsid w:val="0036270F"/>
    <w:rsid w:val="00366892"/>
    <w:rsid w:val="003674BF"/>
    <w:rsid w:val="003677CE"/>
    <w:rsid w:val="0037304F"/>
    <w:rsid w:val="00374978"/>
    <w:rsid w:val="003764DF"/>
    <w:rsid w:val="003847C1"/>
    <w:rsid w:val="00391FD7"/>
    <w:rsid w:val="00393B98"/>
    <w:rsid w:val="003B66BC"/>
    <w:rsid w:val="003C1D67"/>
    <w:rsid w:val="003C7672"/>
    <w:rsid w:val="003E2D4E"/>
    <w:rsid w:val="003E44CC"/>
    <w:rsid w:val="003E4617"/>
    <w:rsid w:val="003E693E"/>
    <w:rsid w:val="003F4975"/>
    <w:rsid w:val="00400A06"/>
    <w:rsid w:val="00400AE4"/>
    <w:rsid w:val="00401449"/>
    <w:rsid w:val="00402430"/>
    <w:rsid w:val="00403E1E"/>
    <w:rsid w:val="0040787F"/>
    <w:rsid w:val="004261A8"/>
    <w:rsid w:val="00431EEA"/>
    <w:rsid w:val="00432BD7"/>
    <w:rsid w:val="00436699"/>
    <w:rsid w:val="00436EC7"/>
    <w:rsid w:val="004370D7"/>
    <w:rsid w:val="00442688"/>
    <w:rsid w:val="00443BDD"/>
    <w:rsid w:val="004447F7"/>
    <w:rsid w:val="00446C0B"/>
    <w:rsid w:val="00453127"/>
    <w:rsid w:val="004566BD"/>
    <w:rsid w:val="00460EF2"/>
    <w:rsid w:val="00471A2A"/>
    <w:rsid w:val="00472605"/>
    <w:rsid w:val="00473009"/>
    <w:rsid w:val="00473FB0"/>
    <w:rsid w:val="004750DE"/>
    <w:rsid w:val="00480696"/>
    <w:rsid w:val="0048449A"/>
    <w:rsid w:val="0048757F"/>
    <w:rsid w:val="004919B3"/>
    <w:rsid w:val="004A1760"/>
    <w:rsid w:val="004A19DC"/>
    <w:rsid w:val="004A2561"/>
    <w:rsid w:val="004A69FE"/>
    <w:rsid w:val="004C5C3D"/>
    <w:rsid w:val="004C7A54"/>
    <w:rsid w:val="004D2273"/>
    <w:rsid w:val="004D6C52"/>
    <w:rsid w:val="004E3B1C"/>
    <w:rsid w:val="004E4BE8"/>
    <w:rsid w:val="004F1C98"/>
    <w:rsid w:val="004F45EA"/>
    <w:rsid w:val="004F674F"/>
    <w:rsid w:val="00503440"/>
    <w:rsid w:val="00504C0B"/>
    <w:rsid w:val="00512F28"/>
    <w:rsid w:val="005231DE"/>
    <w:rsid w:val="0052353C"/>
    <w:rsid w:val="00525CBF"/>
    <w:rsid w:val="00530CCD"/>
    <w:rsid w:val="00532597"/>
    <w:rsid w:val="005338D6"/>
    <w:rsid w:val="00541911"/>
    <w:rsid w:val="00542B32"/>
    <w:rsid w:val="00552014"/>
    <w:rsid w:val="00561582"/>
    <w:rsid w:val="005704ED"/>
    <w:rsid w:val="005828E0"/>
    <w:rsid w:val="00584DDE"/>
    <w:rsid w:val="00586B4A"/>
    <w:rsid w:val="005A0035"/>
    <w:rsid w:val="005A12CB"/>
    <w:rsid w:val="005B09E5"/>
    <w:rsid w:val="005B6964"/>
    <w:rsid w:val="005E35E6"/>
    <w:rsid w:val="006010E4"/>
    <w:rsid w:val="00624E41"/>
    <w:rsid w:val="00627B72"/>
    <w:rsid w:val="0063428D"/>
    <w:rsid w:val="00635A7D"/>
    <w:rsid w:val="00645D5D"/>
    <w:rsid w:val="00647A71"/>
    <w:rsid w:val="0065466E"/>
    <w:rsid w:val="00660547"/>
    <w:rsid w:val="00665F07"/>
    <w:rsid w:val="006701D3"/>
    <w:rsid w:val="00671211"/>
    <w:rsid w:val="006741C7"/>
    <w:rsid w:val="006747DD"/>
    <w:rsid w:val="00674DC4"/>
    <w:rsid w:val="006778B3"/>
    <w:rsid w:val="00685F5A"/>
    <w:rsid w:val="00687F37"/>
    <w:rsid w:val="00692A52"/>
    <w:rsid w:val="0069431C"/>
    <w:rsid w:val="00697607"/>
    <w:rsid w:val="006976DF"/>
    <w:rsid w:val="006A4EBD"/>
    <w:rsid w:val="006A637F"/>
    <w:rsid w:val="006A7EC2"/>
    <w:rsid w:val="006B0722"/>
    <w:rsid w:val="006B2B7C"/>
    <w:rsid w:val="006B3A36"/>
    <w:rsid w:val="006C4E52"/>
    <w:rsid w:val="006D0503"/>
    <w:rsid w:val="006D5273"/>
    <w:rsid w:val="006D53E4"/>
    <w:rsid w:val="006E6FF4"/>
    <w:rsid w:val="006F0329"/>
    <w:rsid w:val="006F607F"/>
    <w:rsid w:val="006F661F"/>
    <w:rsid w:val="007000DA"/>
    <w:rsid w:val="00706157"/>
    <w:rsid w:val="007062F3"/>
    <w:rsid w:val="00712260"/>
    <w:rsid w:val="00712FD9"/>
    <w:rsid w:val="007143B9"/>
    <w:rsid w:val="00717C61"/>
    <w:rsid w:val="00727948"/>
    <w:rsid w:val="00743624"/>
    <w:rsid w:val="007465BD"/>
    <w:rsid w:val="007475B8"/>
    <w:rsid w:val="0075002C"/>
    <w:rsid w:val="0075737D"/>
    <w:rsid w:val="00757FE1"/>
    <w:rsid w:val="00764519"/>
    <w:rsid w:val="00764971"/>
    <w:rsid w:val="007721FD"/>
    <w:rsid w:val="00781CE8"/>
    <w:rsid w:val="00786E40"/>
    <w:rsid w:val="00793AD0"/>
    <w:rsid w:val="00796B40"/>
    <w:rsid w:val="007A2C20"/>
    <w:rsid w:val="007A3828"/>
    <w:rsid w:val="007A6C81"/>
    <w:rsid w:val="007B5327"/>
    <w:rsid w:val="007C3F79"/>
    <w:rsid w:val="007C4BEE"/>
    <w:rsid w:val="007D0D54"/>
    <w:rsid w:val="007D28C2"/>
    <w:rsid w:val="007D4974"/>
    <w:rsid w:val="007D5977"/>
    <w:rsid w:val="007D5DFE"/>
    <w:rsid w:val="007E2AC7"/>
    <w:rsid w:val="007E2E1D"/>
    <w:rsid w:val="007E3AC0"/>
    <w:rsid w:val="007E5835"/>
    <w:rsid w:val="007F2028"/>
    <w:rsid w:val="007F408B"/>
    <w:rsid w:val="007F6EFF"/>
    <w:rsid w:val="007F7242"/>
    <w:rsid w:val="00800506"/>
    <w:rsid w:val="00803220"/>
    <w:rsid w:val="00805664"/>
    <w:rsid w:val="00811157"/>
    <w:rsid w:val="00813D71"/>
    <w:rsid w:val="00817663"/>
    <w:rsid w:val="00817EA6"/>
    <w:rsid w:val="00820383"/>
    <w:rsid w:val="00825C1F"/>
    <w:rsid w:val="00832E39"/>
    <w:rsid w:val="008335BA"/>
    <w:rsid w:val="00837227"/>
    <w:rsid w:val="008404CA"/>
    <w:rsid w:val="008418B9"/>
    <w:rsid w:val="0085127C"/>
    <w:rsid w:val="00853E3C"/>
    <w:rsid w:val="00853EDC"/>
    <w:rsid w:val="00865F48"/>
    <w:rsid w:val="008719E2"/>
    <w:rsid w:val="00872922"/>
    <w:rsid w:val="00875D7B"/>
    <w:rsid w:val="00876836"/>
    <w:rsid w:val="008808AA"/>
    <w:rsid w:val="0089548B"/>
    <w:rsid w:val="008B02EE"/>
    <w:rsid w:val="008B070F"/>
    <w:rsid w:val="008B2005"/>
    <w:rsid w:val="008B53B0"/>
    <w:rsid w:val="008B57E6"/>
    <w:rsid w:val="008C6E52"/>
    <w:rsid w:val="008D2FEC"/>
    <w:rsid w:val="008E2DCC"/>
    <w:rsid w:val="008E6DB1"/>
    <w:rsid w:val="008F3911"/>
    <w:rsid w:val="008F67A4"/>
    <w:rsid w:val="009027FB"/>
    <w:rsid w:val="0091063C"/>
    <w:rsid w:val="009175F2"/>
    <w:rsid w:val="0092138D"/>
    <w:rsid w:val="00921F13"/>
    <w:rsid w:val="00942259"/>
    <w:rsid w:val="009438C3"/>
    <w:rsid w:val="0095123A"/>
    <w:rsid w:val="00955125"/>
    <w:rsid w:val="009637C2"/>
    <w:rsid w:val="0097131B"/>
    <w:rsid w:val="009811F7"/>
    <w:rsid w:val="00985A42"/>
    <w:rsid w:val="009A04C4"/>
    <w:rsid w:val="009A0BD6"/>
    <w:rsid w:val="009A50A9"/>
    <w:rsid w:val="009B22F7"/>
    <w:rsid w:val="009B3A0C"/>
    <w:rsid w:val="009B666E"/>
    <w:rsid w:val="009B6A86"/>
    <w:rsid w:val="009B6DC7"/>
    <w:rsid w:val="009C0252"/>
    <w:rsid w:val="009C5621"/>
    <w:rsid w:val="009D2062"/>
    <w:rsid w:val="009D220F"/>
    <w:rsid w:val="009D2A33"/>
    <w:rsid w:val="009D3D40"/>
    <w:rsid w:val="009D6EF4"/>
    <w:rsid w:val="009F1EDC"/>
    <w:rsid w:val="009F5A83"/>
    <w:rsid w:val="009F6C6D"/>
    <w:rsid w:val="00A0036E"/>
    <w:rsid w:val="00A06CF4"/>
    <w:rsid w:val="00A10A2B"/>
    <w:rsid w:val="00A11252"/>
    <w:rsid w:val="00A13204"/>
    <w:rsid w:val="00A14805"/>
    <w:rsid w:val="00A21E3E"/>
    <w:rsid w:val="00A23ECB"/>
    <w:rsid w:val="00A244EE"/>
    <w:rsid w:val="00A25058"/>
    <w:rsid w:val="00A2602C"/>
    <w:rsid w:val="00A301D1"/>
    <w:rsid w:val="00A539D2"/>
    <w:rsid w:val="00A56D23"/>
    <w:rsid w:val="00A63356"/>
    <w:rsid w:val="00A74566"/>
    <w:rsid w:val="00A80710"/>
    <w:rsid w:val="00A80BFB"/>
    <w:rsid w:val="00A8215E"/>
    <w:rsid w:val="00A8526A"/>
    <w:rsid w:val="00A9042A"/>
    <w:rsid w:val="00AA2B00"/>
    <w:rsid w:val="00AA418C"/>
    <w:rsid w:val="00AA42B5"/>
    <w:rsid w:val="00AA4F83"/>
    <w:rsid w:val="00AC7CD5"/>
    <w:rsid w:val="00AD0A3F"/>
    <w:rsid w:val="00AD30B3"/>
    <w:rsid w:val="00AD41BC"/>
    <w:rsid w:val="00AD425E"/>
    <w:rsid w:val="00AD4588"/>
    <w:rsid w:val="00AD45AB"/>
    <w:rsid w:val="00AF2447"/>
    <w:rsid w:val="00AF4F75"/>
    <w:rsid w:val="00AF776C"/>
    <w:rsid w:val="00B040F0"/>
    <w:rsid w:val="00B102F7"/>
    <w:rsid w:val="00B144F8"/>
    <w:rsid w:val="00B14A1B"/>
    <w:rsid w:val="00B15590"/>
    <w:rsid w:val="00B35100"/>
    <w:rsid w:val="00B35E0D"/>
    <w:rsid w:val="00B369AC"/>
    <w:rsid w:val="00B42F03"/>
    <w:rsid w:val="00B533C4"/>
    <w:rsid w:val="00B55915"/>
    <w:rsid w:val="00B75869"/>
    <w:rsid w:val="00B82675"/>
    <w:rsid w:val="00B82766"/>
    <w:rsid w:val="00B83233"/>
    <w:rsid w:val="00B85688"/>
    <w:rsid w:val="00B8675B"/>
    <w:rsid w:val="00B90605"/>
    <w:rsid w:val="00B9078D"/>
    <w:rsid w:val="00B9216D"/>
    <w:rsid w:val="00B93B22"/>
    <w:rsid w:val="00BA1C50"/>
    <w:rsid w:val="00BA33AD"/>
    <w:rsid w:val="00BA6A18"/>
    <w:rsid w:val="00BA7644"/>
    <w:rsid w:val="00BB37F6"/>
    <w:rsid w:val="00BC1CBB"/>
    <w:rsid w:val="00BC3585"/>
    <w:rsid w:val="00BC5449"/>
    <w:rsid w:val="00BE1011"/>
    <w:rsid w:val="00BE11AA"/>
    <w:rsid w:val="00BF03F1"/>
    <w:rsid w:val="00C05569"/>
    <w:rsid w:val="00C0776E"/>
    <w:rsid w:val="00C11FC2"/>
    <w:rsid w:val="00C12195"/>
    <w:rsid w:val="00C13CDA"/>
    <w:rsid w:val="00C24DEF"/>
    <w:rsid w:val="00C26B33"/>
    <w:rsid w:val="00C27268"/>
    <w:rsid w:val="00C30D11"/>
    <w:rsid w:val="00C36B95"/>
    <w:rsid w:val="00C40D6A"/>
    <w:rsid w:val="00C414C9"/>
    <w:rsid w:val="00C432C1"/>
    <w:rsid w:val="00C44572"/>
    <w:rsid w:val="00C45E50"/>
    <w:rsid w:val="00C54E46"/>
    <w:rsid w:val="00C63936"/>
    <w:rsid w:val="00C645F5"/>
    <w:rsid w:val="00C73556"/>
    <w:rsid w:val="00C74E29"/>
    <w:rsid w:val="00C83612"/>
    <w:rsid w:val="00C836DC"/>
    <w:rsid w:val="00C856D7"/>
    <w:rsid w:val="00C87689"/>
    <w:rsid w:val="00C90AE7"/>
    <w:rsid w:val="00C91885"/>
    <w:rsid w:val="00C951D1"/>
    <w:rsid w:val="00C95F94"/>
    <w:rsid w:val="00CB360D"/>
    <w:rsid w:val="00CC26E8"/>
    <w:rsid w:val="00CC4C42"/>
    <w:rsid w:val="00CD10FB"/>
    <w:rsid w:val="00CE4CBC"/>
    <w:rsid w:val="00D036F3"/>
    <w:rsid w:val="00D2340C"/>
    <w:rsid w:val="00D238D2"/>
    <w:rsid w:val="00D2763C"/>
    <w:rsid w:val="00D30A3A"/>
    <w:rsid w:val="00D37B3E"/>
    <w:rsid w:val="00D50215"/>
    <w:rsid w:val="00D50237"/>
    <w:rsid w:val="00D57DA5"/>
    <w:rsid w:val="00D719ED"/>
    <w:rsid w:val="00D728CA"/>
    <w:rsid w:val="00D835EB"/>
    <w:rsid w:val="00D925E3"/>
    <w:rsid w:val="00DA6D18"/>
    <w:rsid w:val="00DB0448"/>
    <w:rsid w:val="00DB54ED"/>
    <w:rsid w:val="00DB588A"/>
    <w:rsid w:val="00DB6EDA"/>
    <w:rsid w:val="00DC0145"/>
    <w:rsid w:val="00DC548C"/>
    <w:rsid w:val="00DD24DD"/>
    <w:rsid w:val="00DD46D4"/>
    <w:rsid w:val="00DD4DB0"/>
    <w:rsid w:val="00DD505B"/>
    <w:rsid w:val="00DD7ECF"/>
    <w:rsid w:val="00DE4138"/>
    <w:rsid w:val="00DE4222"/>
    <w:rsid w:val="00DE789B"/>
    <w:rsid w:val="00DF147F"/>
    <w:rsid w:val="00DF31F0"/>
    <w:rsid w:val="00E0489E"/>
    <w:rsid w:val="00E139E6"/>
    <w:rsid w:val="00E176DE"/>
    <w:rsid w:val="00E20CA3"/>
    <w:rsid w:val="00E2159B"/>
    <w:rsid w:val="00E22248"/>
    <w:rsid w:val="00E23FFB"/>
    <w:rsid w:val="00E240F0"/>
    <w:rsid w:val="00E27A13"/>
    <w:rsid w:val="00E40D64"/>
    <w:rsid w:val="00E41491"/>
    <w:rsid w:val="00E43851"/>
    <w:rsid w:val="00E46126"/>
    <w:rsid w:val="00E46666"/>
    <w:rsid w:val="00E46807"/>
    <w:rsid w:val="00E472A8"/>
    <w:rsid w:val="00E47E0C"/>
    <w:rsid w:val="00E60B2F"/>
    <w:rsid w:val="00E757B5"/>
    <w:rsid w:val="00E815A9"/>
    <w:rsid w:val="00E83340"/>
    <w:rsid w:val="00E83884"/>
    <w:rsid w:val="00E95064"/>
    <w:rsid w:val="00EA2F4B"/>
    <w:rsid w:val="00EB0DF6"/>
    <w:rsid w:val="00EC2B2C"/>
    <w:rsid w:val="00EC628D"/>
    <w:rsid w:val="00ED64DC"/>
    <w:rsid w:val="00ED6581"/>
    <w:rsid w:val="00EE48C5"/>
    <w:rsid w:val="00EE53A2"/>
    <w:rsid w:val="00EE68A7"/>
    <w:rsid w:val="00F0295C"/>
    <w:rsid w:val="00F1453A"/>
    <w:rsid w:val="00F16C12"/>
    <w:rsid w:val="00F33C72"/>
    <w:rsid w:val="00F3580F"/>
    <w:rsid w:val="00F40075"/>
    <w:rsid w:val="00F4192C"/>
    <w:rsid w:val="00F431C7"/>
    <w:rsid w:val="00F4721D"/>
    <w:rsid w:val="00F52E35"/>
    <w:rsid w:val="00F566C1"/>
    <w:rsid w:val="00F6055A"/>
    <w:rsid w:val="00F629BF"/>
    <w:rsid w:val="00F65380"/>
    <w:rsid w:val="00F767F8"/>
    <w:rsid w:val="00F834F1"/>
    <w:rsid w:val="00F95DA0"/>
    <w:rsid w:val="00F96716"/>
    <w:rsid w:val="00FA431F"/>
    <w:rsid w:val="00FA75AA"/>
    <w:rsid w:val="00FB2B82"/>
    <w:rsid w:val="00FB3329"/>
    <w:rsid w:val="00FC627A"/>
    <w:rsid w:val="00FD3230"/>
    <w:rsid w:val="00FD4FF5"/>
    <w:rsid w:val="00FD5183"/>
    <w:rsid w:val="00FD7B7A"/>
    <w:rsid w:val="00FF080B"/>
    <w:rsid w:val="00FF1C10"/>
    <w:rsid w:val="00FF521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3B2EC"/>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29BF"/>
    <w:rPr>
      <w:sz w:val="22"/>
      <w:szCs w:val="22"/>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rPr>
  </w:style>
  <w:style w:type="paragraph" w:styleId="Nagwek6">
    <w:name w:val="heading 6"/>
    <w:next w:val="Normalny"/>
    <w:qFormat/>
    <w:rsid w:val="00A10A2B"/>
    <w:pPr>
      <w:spacing w:before="240" w:after="60"/>
      <w:outlineLvl w:val="5"/>
    </w:pPr>
    <w:rPr>
      <w:rFonts w:ascii="Arial" w:hAnsi="Arial"/>
      <w:noProof/>
      <w:sz w:val="22"/>
    </w:rPr>
  </w:style>
  <w:style w:type="paragraph" w:styleId="Nagwek7">
    <w:name w:val="heading 7"/>
    <w:next w:val="Normalny"/>
    <w:qFormat/>
    <w:rsid w:val="00A10A2B"/>
    <w:pPr>
      <w:spacing w:before="240" w:after="60"/>
      <w:outlineLvl w:val="6"/>
    </w:pPr>
    <w:rPr>
      <w:rFonts w:ascii="Arial" w:hAnsi="Arial"/>
      <w:noProof/>
      <w:sz w:val="22"/>
    </w:rPr>
  </w:style>
  <w:style w:type="paragraph" w:styleId="Nagwek8">
    <w:name w:val="heading 8"/>
    <w:next w:val="Normalny"/>
    <w:qFormat/>
    <w:rsid w:val="00A10A2B"/>
    <w:pPr>
      <w:spacing w:before="240" w:after="60"/>
      <w:outlineLvl w:val="7"/>
    </w:pPr>
    <w:rPr>
      <w:rFonts w:ascii="Arial" w:hAnsi="Arial"/>
      <w:noProof/>
      <w:sz w:val="22"/>
    </w:rPr>
  </w:style>
  <w:style w:type="paragraph" w:styleId="Nagwek9">
    <w:name w:val="heading 9"/>
    <w:aliases w:val="Heading 9 Figure,Heading 9 Table"/>
    <w:next w:val="Normalny"/>
    <w:qFormat/>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66BAB"/>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66BAB"/>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66BAB"/>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166BAB"/>
    <w:pPr>
      <w:ind w:left="880"/>
    </w:pPr>
    <w:rPr>
      <w:sz w:val="18"/>
      <w:szCs w:val="21"/>
    </w:rPr>
  </w:style>
  <w:style w:type="paragraph" w:styleId="Spistreci6">
    <w:name w:val="toc 6"/>
    <w:basedOn w:val="Normalny"/>
    <w:next w:val="Normalny"/>
    <w:autoRedefine/>
    <w:rsid w:val="00A10A2B"/>
    <w:pPr>
      <w:ind w:left="1100"/>
    </w:pPr>
    <w:rPr>
      <w:sz w:val="18"/>
      <w:szCs w:val="21"/>
    </w:rPr>
  </w:style>
  <w:style w:type="paragraph" w:styleId="Spistreci7">
    <w:name w:val="toc 7"/>
    <w:basedOn w:val="Normalny"/>
    <w:next w:val="Normalny"/>
    <w:autoRedefine/>
    <w:rsid w:val="00A10A2B"/>
    <w:pPr>
      <w:ind w:left="1320"/>
    </w:pPr>
    <w:rPr>
      <w:sz w:val="18"/>
      <w:szCs w:val="21"/>
    </w:rPr>
  </w:style>
  <w:style w:type="paragraph" w:styleId="Spistreci8">
    <w:name w:val="toc 8"/>
    <w:basedOn w:val="Normalny"/>
    <w:next w:val="Normalny"/>
    <w:autoRedefine/>
    <w:rsid w:val="00A10A2B"/>
    <w:pPr>
      <w:ind w:left="1540"/>
    </w:pPr>
    <w:rPr>
      <w:sz w:val="18"/>
      <w:szCs w:val="21"/>
    </w:rPr>
  </w:style>
  <w:style w:type="paragraph" w:styleId="Spistreci9">
    <w:name w:val="toc 9"/>
    <w:basedOn w:val="Normalny"/>
    <w:next w:val="Normalny"/>
    <w:autoRedefine/>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4566BD"/>
    <w:rPr>
      <w:sz w:val="22"/>
      <w:szCs w:val="22"/>
    </w:rPr>
  </w:style>
  <w:style w:type="character" w:customStyle="1" w:styleId="RepBullet2Zchn">
    <w:name w:val="Rep Bullet 2 Zchn"/>
    <w:link w:val="RepBullet2"/>
    <w:rsid w:val="004566BD"/>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qFormat/>
    <w:rsid w:val="002D3619"/>
    <w:pPr>
      <w:keepNext/>
      <w:widowControl/>
      <w:numPr>
        <w:numId w:val="0"/>
      </w:numPr>
      <w:spacing w:before="240" w:after="60"/>
      <w:jc w:val="left"/>
      <w:outlineLvl w:val="9"/>
    </w:pPr>
    <w:rPr>
      <w:rFonts w:ascii="Cambria" w:eastAsia="Times New Roman" w:hAnsi="Cambria"/>
      <w:kern w:val="32"/>
      <w:sz w:val="32"/>
      <w:szCs w:val="32"/>
    </w:rPr>
  </w:style>
  <w:style w:type="character" w:styleId="Odwoanieprzypisudolnego">
    <w:name w:val="footnote reference"/>
    <w:rsid w:val="007F6EFF"/>
    <w:rPr>
      <w:vertAlign w:val="superscript"/>
    </w:rPr>
  </w:style>
  <w:style w:type="paragraph" w:styleId="Cytatintensywny">
    <w:name w:val="Intense Quote"/>
    <w:basedOn w:val="Normalny"/>
    <w:next w:val="Normalny"/>
    <w:link w:val="CytatintensywnyZnak"/>
    <w:qFormat/>
    <w:rsid w:val="002D3619"/>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qFormat/>
    <w:rsid w:val="00A10A2B"/>
    <w:rPr>
      <w:b/>
      <w:bCs/>
      <w:sz w:val="20"/>
      <w:szCs w:val="20"/>
    </w:rPr>
  </w:style>
  <w:style w:type="paragraph" w:customStyle="1" w:styleId="RepStandard">
    <w:name w:val="Rep Standard"/>
    <w:aliases w:val="RP"/>
    <w:link w:val="RepStandardZchnZchn"/>
    <w:qFormat/>
    <w:rsid w:val="00A10A2B"/>
    <w:pPr>
      <w:widowControl w:val="0"/>
      <w:jc w:val="both"/>
    </w:pPr>
    <w:rPr>
      <w:sz w:val="22"/>
      <w:szCs w:val="22"/>
    </w:rPr>
  </w:style>
  <w:style w:type="character" w:customStyle="1" w:styleId="RepStandardZchnZchn">
    <w:name w:val="Rep Standard Zchn Zchn"/>
    <w:link w:val="RepStandard"/>
    <w:qFormat/>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link w:val="RepTitleChar"/>
    <w:rsid w:val="00A10A2B"/>
    <w:rPr>
      <w:b w:val="0"/>
    </w:rPr>
  </w:style>
  <w:style w:type="paragraph" w:customStyle="1" w:styleId="RepAppendix1">
    <w:name w:val="Rep Appendix 1"/>
    <w:basedOn w:val="RepStandard"/>
    <w:next w:val="RepStandard"/>
    <w:rsid w:val="00A10A2B"/>
    <w:pPr>
      <w:numPr>
        <w:numId w:val="1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qFormat/>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basedOn w:val="Normalny"/>
    <w:rsid w:val="00A10A2B"/>
    <w:rPr>
      <w:sz w:val="20"/>
      <w:szCs w:val="20"/>
    </w:rPr>
  </w:style>
  <w:style w:type="paragraph" w:styleId="Zwrotpoegnalny">
    <w:name w:val="Closing"/>
    <w:basedOn w:val="Normalny"/>
    <w:rsid w:val="00A10A2B"/>
    <w:pPr>
      <w:ind w:left="4252"/>
    </w:pPr>
  </w:style>
  <w:style w:type="paragraph" w:styleId="HTML-adres">
    <w:name w:val="HTML Address"/>
    <w:basedOn w:val="Normalny"/>
    <w:rsid w:val="00A10A2B"/>
    <w:rPr>
      <w:i/>
      <w:iCs/>
    </w:rPr>
  </w:style>
  <w:style w:type="paragraph" w:styleId="HTML-wstpniesformatowany">
    <w:name w:val="HTML Preformatted"/>
    <w:basedOn w:val="Normalny"/>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rsid w:val="00A10A2B"/>
    <w:rPr>
      <w:sz w:val="20"/>
      <w:szCs w:val="20"/>
    </w:rPr>
  </w:style>
  <w:style w:type="paragraph" w:styleId="Tematkomentarza">
    <w:name w:val="annotation subject"/>
    <w:basedOn w:val="Tekstkomentarza"/>
    <w:next w:val="Tekstkomentarza"/>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rsid w:val="00A10A2B"/>
    <w:pPr>
      <w:spacing w:after="120"/>
    </w:pPr>
    <w:rPr>
      <w:sz w:val="16"/>
      <w:szCs w:val="16"/>
    </w:rPr>
  </w:style>
  <w:style w:type="paragraph" w:styleId="Tekstpodstawowywcity2">
    <w:name w:val="Body Text Indent 2"/>
    <w:basedOn w:val="Normalny"/>
    <w:rsid w:val="00A10A2B"/>
    <w:pPr>
      <w:spacing w:after="120" w:line="480" w:lineRule="auto"/>
      <w:ind w:left="283"/>
    </w:pPr>
  </w:style>
  <w:style w:type="paragraph" w:styleId="Tekstpodstawowywcity3">
    <w:name w:val="Body Text Indent 3"/>
    <w:basedOn w:val="Normalny"/>
    <w:rsid w:val="00A10A2B"/>
    <w:pPr>
      <w:spacing w:after="120"/>
      <w:ind w:left="283"/>
    </w:pPr>
    <w:rPr>
      <w:sz w:val="16"/>
      <w:szCs w:val="16"/>
    </w:rPr>
  </w:style>
  <w:style w:type="paragraph" w:styleId="Tekstpodstawowyzwciciem">
    <w:name w:val="Body Text First Indent"/>
    <w:basedOn w:val="Tekstpodstawowy"/>
    <w:rsid w:val="00A10A2B"/>
    <w:pPr>
      <w:ind w:firstLine="210"/>
    </w:pPr>
  </w:style>
  <w:style w:type="paragraph" w:styleId="Tekstpodstawowywcity">
    <w:name w:val="Body Text Indent"/>
    <w:basedOn w:val="Normalny"/>
    <w:rsid w:val="00A10A2B"/>
    <w:pPr>
      <w:spacing w:after="120"/>
      <w:ind w:left="283"/>
    </w:pPr>
  </w:style>
  <w:style w:type="paragraph" w:styleId="Tekstpodstawowyzwciciem2">
    <w:name w:val="Body Text First Indent 2"/>
    <w:basedOn w:val="Tekstpodstawowywcity"/>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rsid w:val="00A10A2B"/>
    <w:pPr>
      <w:ind w:left="4252"/>
    </w:pPr>
  </w:style>
  <w:style w:type="paragraph" w:styleId="Podtytu">
    <w:name w:val="Subtitle"/>
    <w:basedOn w:val="Normalny"/>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rsid w:val="00A10A2B"/>
    <w:pPr>
      <w:numPr>
        <w:ilvl w:val="1"/>
        <w:numId w:val="19"/>
      </w:numPr>
      <w:spacing w:before="480" w:after="240"/>
      <w:outlineLvl w:val="1"/>
    </w:pPr>
    <w:rPr>
      <w:b/>
      <w:sz w:val="24"/>
    </w:rPr>
  </w:style>
  <w:style w:type="paragraph" w:customStyle="1" w:styleId="RepAppendix3">
    <w:name w:val="Rep Appendix 3"/>
    <w:basedOn w:val="RepStandard"/>
    <w:next w:val="RepStandard"/>
    <w:rsid w:val="00A10A2B"/>
    <w:pPr>
      <w:numPr>
        <w:ilvl w:val="2"/>
        <w:numId w:val="1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4566BD"/>
    <w:pPr>
      <w:numPr>
        <w:numId w:val="23"/>
      </w:numPr>
      <w:jc w:val="left"/>
    </w:pPr>
    <w:rPr>
      <w:lang w:val="de-DE"/>
    </w:rPr>
  </w:style>
  <w:style w:type="paragraph" w:customStyle="1" w:styleId="RepBullet2">
    <w:name w:val="Rep Bullet 2"/>
    <w:basedOn w:val="RepStandard"/>
    <w:link w:val="RepBullet2Zchn"/>
    <w:autoRedefine/>
    <w:rsid w:val="004566BD"/>
    <w:pPr>
      <w:numPr>
        <w:numId w:val="24"/>
      </w:numPr>
      <w:jc w:val="left"/>
    </w:pPr>
  </w:style>
  <w:style w:type="paragraph" w:customStyle="1" w:styleId="RepBullet3">
    <w:name w:val="Rep Bullet 3"/>
    <w:basedOn w:val="RepStandard"/>
    <w:autoRedefine/>
    <w:rsid w:val="004566BD"/>
    <w:pPr>
      <w:numPr>
        <w:numId w:val="25"/>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9"/>
      </w:numPr>
    </w:pPr>
  </w:style>
  <w:style w:type="numbering" w:styleId="1ai">
    <w:name w:val="Outline List 1"/>
    <w:basedOn w:val="Bezlisty"/>
    <w:rsid w:val="00A10A2B"/>
    <w:pPr>
      <w:numPr>
        <w:numId w:val="10"/>
      </w:numPr>
    </w:pPr>
  </w:style>
  <w:style w:type="paragraph" w:styleId="Zwrotgrzecznociowy">
    <w:name w:val="Salutation"/>
    <w:basedOn w:val="Normalny"/>
    <w:next w:val="Normalny"/>
    <w:rsid w:val="00A10A2B"/>
  </w:style>
  <w:style w:type="numbering" w:styleId="Artykusekcja">
    <w:name w:val="Outline List 3"/>
    <w:basedOn w:val="Bezlisty"/>
    <w:rsid w:val="00A10A2B"/>
    <w:pPr>
      <w:numPr>
        <w:numId w:val="11"/>
      </w:numPr>
    </w:pPr>
  </w:style>
  <w:style w:type="paragraph" w:styleId="Listapunktowana">
    <w:name w:val="List Bullet"/>
    <w:basedOn w:val="Normalny"/>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rsid w:val="00A10A2B"/>
    <w:pPr>
      <w:numPr>
        <w:numId w:val="3"/>
      </w:numPr>
    </w:pPr>
  </w:style>
  <w:style w:type="paragraph" w:styleId="Listapunktowana4">
    <w:name w:val="List Bullet 4"/>
    <w:basedOn w:val="Normalny"/>
    <w:rsid w:val="00A10A2B"/>
    <w:pPr>
      <w:numPr>
        <w:numId w:val="4"/>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rsid w:val="00A10A2B"/>
  </w:style>
  <w:style w:type="paragraph" w:styleId="Podpise-mail">
    <w:name w:val="E-mail Signature"/>
    <w:basedOn w:val="Normalny"/>
    <w:rsid w:val="00A10A2B"/>
  </w:style>
  <w:style w:type="character" w:styleId="Pogrubienie">
    <w:name w:val="Strong"/>
    <w:qFormat/>
    <w:rsid w:val="003C1D67"/>
    <w:rPr>
      <w:b/>
      <w:bCs/>
    </w:rPr>
  </w:style>
  <w:style w:type="paragraph" w:styleId="Nagweknotatki">
    <w:name w:val="Note Heading"/>
    <w:basedOn w:val="Normalny"/>
    <w:next w:val="Normalny"/>
    <w:rsid w:val="00A10A2B"/>
  </w:style>
  <w:style w:type="character" w:styleId="Uwydatnienie">
    <w:name w:val="Emphasis"/>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rsid w:val="00A10A2B"/>
    <w:pPr>
      <w:shd w:val="clear" w:color="auto" w:fill="000080"/>
    </w:pPr>
    <w:rPr>
      <w:rFonts w:ascii="Tahoma" w:hAnsi="Tahoma" w:cs="Tahoma"/>
      <w:sz w:val="20"/>
      <w:szCs w:val="20"/>
    </w:rPr>
  </w:style>
  <w:style w:type="paragraph" w:styleId="Tekstprzypisukocowego">
    <w:name w:val="endnote text"/>
    <w:basedOn w:val="Normalny"/>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CytatintensywnyZnak">
    <w:name w:val="Cytat intensywny Znak"/>
    <w:link w:val="Cytatintensywny"/>
    <w:rsid w:val="002D3619"/>
    <w:rPr>
      <w:b/>
      <w:bCs/>
      <w:i/>
      <w:iCs/>
      <w:color w:val="4F81BD"/>
      <w:sz w:val="22"/>
      <w:szCs w:val="22"/>
      <w:lang w:val="en-US"/>
    </w:rPr>
  </w:style>
  <w:style w:type="paragraph" w:styleId="Bezodstpw">
    <w:name w:val="No Spacing"/>
    <w:qFormat/>
    <w:rsid w:val="002D3619"/>
    <w:rPr>
      <w:sz w:val="22"/>
      <w:szCs w:val="22"/>
    </w:rPr>
  </w:style>
  <w:style w:type="character" w:customStyle="1" w:styleId="Nagwek3Znak">
    <w:name w:val="Nagłówek 3 Znak"/>
    <w:aliases w:val="Rep Heading 3 Znak"/>
    <w:link w:val="Nagwek3"/>
    <w:locked/>
    <w:rsid w:val="00504C0B"/>
    <w:rPr>
      <w:rFonts w:eastAsia="Lucida Sans Unicode" w:cs="Tahoma"/>
      <w:b/>
      <w:bCs/>
      <w:kern w:val="24"/>
      <w:sz w:val="24"/>
      <w:szCs w:val="28"/>
      <w:lang w:val="en-GB"/>
    </w:rPr>
  </w:style>
  <w:style w:type="character" w:customStyle="1" w:styleId="Nagwek4Znak">
    <w:name w:val="Nagłówek 4 Znak"/>
    <w:aliases w:val="Rep Heading 4 Znak"/>
    <w:link w:val="Nagwek4"/>
    <w:locked/>
    <w:rsid w:val="00504C0B"/>
    <w:rPr>
      <w:b/>
      <w:noProof/>
      <w:sz w:val="24"/>
      <w:szCs w:val="24"/>
    </w:rPr>
  </w:style>
  <w:style w:type="character" w:customStyle="1" w:styleId="LegendaZnak">
    <w:name w:val="Legenda Znak"/>
    <w:aliases w:val="o Znak,o + Links Znak,Bayer Caption Znak"/>
    <w:link w:val="Legenda"/>
    <w:locked/>
    <w:rsid w:val="00504C0B"/>
    <w:rPr>
      <w:b/>
      <w:bCs/>
      <w:lang w:val="en-US"/>
    </w:rPr>
  </w:style>
  <w:style w:type="character" w:customStyle="1" w:styleId="Nagwek2Znak">
    <w:name w:val="Nagłówek 2 Znak"/>
    <w:aliases w:val="Rep Heading 2 Znak,Header 1 Znak"/>
    <w:link w:val="Nagwek2"/>
    <w:rsid w:val="008D2FEC"/>
    <w:rPr>
      <w:b/>
      <w:bCs/>
      <w:sz w:val="24"/>
      <w:szCs w:val="24"/>
      <w:lang w:val="en-GB"/>
    </w:rPr>
  </w:style>
  <w:style w:type="paragraph" w:styleId="Akapitzlist">
    <w:name w:val="List Paragraph"/>
    <w:basedOn w:val="Normalny"/>
    <w:qFormat/>
    <w:rsid w:val="002D3619"/>
    <w:pPr>
      <w:ind w:left="708"/>
    </w:pPr>
  </w:style>
  <w:style w:type="paragraph" w:styleId="Bibliografia">
    <w:name w:val="Bibliography"/>
    <w:basedOn w:val="Normalny"/>
    <w:next w:val="Normalny"/>
    <w:rsid w:val="002D3619"/>
  </w:style>
  <w:style w:type="paragraph" w:styleId="Cytat">
    <w:name w:val="Quote"/>
    <w:basedOn w:val="Normalny"/>
    <w:next w:val="Normalny"/>
    <w:link w:val="CytatZnak"/>
    <w:qFormat/>
    <w:rsid w:val="002D3619"/>
    <w:rPr>
      <w:i/>
      <w:iCs/>
      <w:color w:val="000000"/>
    </w:rPr>
  </w:style>
  <w:style w:type="character" w:customStyle="1" w:styleId="CytatZnak">
    <w:name w:val="Cytat Znak"/>
    <w:link w:val="Cytat"/>
    <w:rsid w:val="002D3619"/>
    <w:rPr>
      <w:i/>
      <w:iCs/>
      <w:color w:val="000000"/>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paragraph" w:customStyle="1" w:styleId="StyleOECD-BASIS-TEXTLeft">
    <w:name w:val="Style OECD-BASIS-TEXT + Left"/>
    <w:basedOn w:val="Normalny"/>
    <w:rsid w:val="00431EEA"/>
    <w:pPr>
      <w:jc w:val="both"/>
    </w:pPr>
    <w:rPr>
      <w:color w:val="000000"/>
      <w:sz w:val="24"/>
      <w:lang w:val="en-GB"/>
    </w:rPr>
  </w:style>
  <w:style w:type="paragraph" w:styleId="Poprawka">
    <w:name w:val="Revision"/>
    <w:hidden/>
    <w:rsid w:val="00DD7ECF"/>
    <w:rPr>
      <w:sz w:val="22"/>
      <w:szCs w:val="22"/>
    </w:rPr>
  </w:style>
  <w:style w:type="paragraph" w:customStyle="1" w:styleId="NormalDossier">
    <w:name w:val="Normal Dossier"/>
    <w:basedOn w:val="Normalny"/>
    <w:link w:val="NormalDossierChar"/>
    <w:rsid w:val="009438C3"/>
    <w:pPr>
      <w:spacing w:before="120" w:after="120"/>
    </w:pPr>
    <w:rPr>
      <w:sz w:val="24"/>
      <w:szCs w:val="20"/>
      <w:lang w:val="en-GB" w:eastAsia="en-GB"/>
    </w:rPr>
  </w:style>
  <w:style w:type="character" w:customStyle="1" w:styleId="NormalDossierChar">
    <w:name w:val="Normal Dossier Char"/>
    <w:link w:val="NormalDossier"/>
    <w:rsid w:val="009438C3"/>
    <w:rPr>
      <w:sz w:val="24"/>
      <w:lang w:val="en-GB" w:eastAsia="en-GB"/>
    </w:rPr>
  </w:style>
  <w:style w:type="character" w:customStyle="1" w:styleId="RepTitleChar">
    <w:name w:val="Rep Title Char"/>
    <w:basedOn w:val="RepStandardZchnZchn"/>
    <w:link w:val="RepTitle"/>
    <w:rsid w:val="009F5A83"/>
    <w:rPr>
      <w:sz w:val="3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69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image" Target="media/image1.wmf"/><Relationship Id="rId26"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11.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4.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0.xml"/><Relationship Id="rId29"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13.xml"/><Relationship Id="rId32" Type="http://schemas.openxmlformats.org/officeDocument/2006/relationships/footer" Target="footer18.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footer" Target="footer3.xml"/><Relationship Id="rId19" Type="http://schemas.openxmlformats.org/officeDocument/2006/relationships/image" Target="media/image2.wmf"/><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2.xml"/><Relationship Id="rId27" Type="http://schemas.openxmlformats.org/officeDocument/2006/relationships/header" Target="header4.xml"/><Relationship Id="rId30" Type="http://schemas.openxmlformats.org/officeDocument/2006/relationships/footer" Target="footer1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3474</Words>
  <Characters>20848</Characters>
  <Application>Microsoft Office Word</Application>
  <DocSecurity>0</DocSecurity>
  <Lines>173</Lines>
  <Paragraphs>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B, Section 10</vt:lpstr>
      <vt:lpstr>Part B, Section 10</vt:lpstr>
    </vt:vector>
  </TitlesOfParts>
  <Company>AFSSA</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10</dc:title>
  <dc:subject/>
  <dc:creator>Registration Report Working Group</dc:creator>
  <cp:keywords/>
  <dc:description/>
  <cp:lastModifiedBy>aam</cp:lastModifiedBy>
  <cp:revision>4</cp:revision>
  <cp:lastPrinted>2014-06-05T13:33:00Z</cp:lastPrinted>
  <dcterms:created xsi:type="dcterms:W3CDTF">2024-11-07T13:00:00Z</dcterms:created>
  <dcterms:modified xsi:type="dcterms:W3CDTF">2024-11-07T13:02:00Z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10</vt:lpwstr>
  </property>
  <property fmtid="{D5CDD505-2E9C-101B-9397-08002B2CF9AE}" pid="7" name="MSIP_Label_fd8f657c-1b5d-4225-9de5-62d9d25afec8_Enabled">
    <vt:lpwstr>true</vt:lpwstr>
  </property>
  <property fmtid="{D5CDD505-2E9C-101B-9397-08002B2CF9AE}" pid="8" name="MSIP_Label_fd8f657c-1b5d-4225-9de5-62d9d25afec8_SetDate">
    <vt:lpwstr>2024-09-09T14:10:32Z</vt:lpwstr>
  </property>
  <property fmtid="{D5CDD505-2E9C-101B-9397-08002B2CF9AE}" pid="9" name="MSIP_Label_fd8f657c-1b5d-4225-9de5-62d9d25afec8_Method">
    <vt:lpwstr>Privileged</vt:lpwstr>
  </property>
  <property fmtid="{D5CDD505-2E9C-101B-9397-08002B2CF9AE}" pid="10" name="MSIP_Label_fd8f657c-1b5d-4225-9de5-62d9d25afec8_Name">
    <vt:lpwstr>fd8f657c-1b5d-4225-9de5-62d9d25afec8</vt:lpwstr>
  </property>
  <property fmtid="{D5CDD505-2E9C-101B-9397-08002B2CF9AE}" pid="11" name="MSIP_Label_fd8f657c-1b5d-4225-9de5-62d9d25afec8_SiteId">
    <vt:lpwstr>ecaa386b-c8df-4ce0-ad01-740cbdb5ba55</vt:lpwstr>
  </property>
  <property fmtid="{D5CDD505-2E9C-101B-9397-08002B2CF9AE}" pid="12" name="MSIP_Label_fd8f657c-1b5d-4225-9de5-62d9d25afec8_ActionId">
    <vt:lpwstr>b5593699-b14a-4eaf-9d27-7689b64d071f</vt:lpwstr>
  </property>
  <property fmtid="{D5CDD505-2E9C-101B-9397-08002B2CF9AE}" pid="13" name="MSIP_Label_fd8f657c-1b5d-4225-9de5-62d9d25afec8_ContentBits">
    <vt:lpwstr>0</vt:lpwstr>
  </property>
</Properties>
</file>